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E3765B" w14:textId="77777777" w:rsidR="00506DD3" w:rsidRPr="00506DD3" w:rsidRDefault="00506DD3">
      <w:pPr>
        <w:rPr>
          <w:b/>
          <w:sz w:val="28"/>
          <w:szCs w:val="28"/>
        </w:rPr>
      </w:pPr>
      <w:bookmarkStart w:id="0" w:name="_GoBack"/>
      <w:bookmarkEnd w:id="0"/>
      <w:r w:rsidRPr="00506DD3">
        <w:rPr>
          <w:rFonts w:hint="eastAsia"/>
          <w:b/>
          <w:sz w:val="28"/>
          <w:szCs w:val="28"/>
        </w:rPr>
        <w:t>障害者の権利委員会（</w:t>
      </w:r>
      <w:r w:rsidRPr="00506DD3">
        <w:rPr>
          <w:rFonts w:hint="eastAsia"/>
          <w:b/>
          <w:sz w:val="28"/>
          <w:szCs w:val="28"/>
        </w:rPr>
        <w:t>CRPD/C/MNG/CO/1</w:t>
      </w:r>
      <w:r w:rsidRPr="00506DD3">
        <w:rPr>
          <w:rFonts w:hint="eastAsia"/>
          <w:b/>
          <w:sz w:val="28"/>
          <w:szCs w:val="28"/>
        </w:rPr>
        <w:t>）</w:t>
      </w:r>
      <w:r w:rsidRPr="00506DD3">
        <w:rPr>
          <w:b/>
          <w:sz w:val="28"/>
          <w:szCs w:val="28"/>
        </w:rPr>
        <w:t>201</w:t>
      </w:r>
      <w:r w:rsidRPr="00506DD3">
        <w:rPr>
          <w:rFonts w:hint="eastAsia"/>
          <w:b/>
          <w:sz w:val="28"/>
          <w:szCs w:val="28"/>
        </w:rPr>
        <w:t>5</w:t>
      </w:r>
      <w:r w:rsidRPr="00506DD3">
        <w:rPr>
          <w:rFonts w:hint="eastAsia"/>
          <w:b/>
          <w:sz w:val="28"/>
          <w:szCs w:val="28"/>
        </w:rPr>
        <w:t>年</w:t>
      </w:r>
      <w:r w:rsidRPr="00506DD3">
        <w:rPr>
          <w:rFonts w:hint="eastAsia"/>
          <w:b/>
          <w:sz w:val="28"/>
          <w:szCs w:val="28"/>
        </w:rPr>
        <w:t>5</w:t>
      </w:r>
      <w:r w:rsidRPr="00506DD3">
        <w:rPr>
          <w:rFonts w:hint="eastAsia"/>
          <w:b/>
          <w:sz w:val="28"/>
          <w:szCs w:val="28"/>
        </w:rPr>
        <w:t>月</w:t>
      </w:r>
      <w:r w:rsidRPr="00506DD3">
        <w:rPr>
          <w:rFonts w:hint="eastAsia"/>
          <w:b/>
          <w:sz w:val="28"/>
          <w:szCs w:val="28"/>
        </w:rPr>
        <w:t>13</w:t>
      </w:r>
      <w:r w:rsidRPr="00506DD3">
        <w:rPr>
          <w:rFonts w:hint="eastAsia"/>
          <w:b/>
          <w:sz w:val="28"/>
          <w:szCs w:val="28"/>
        </w:rPr>
        <w:t>日</w:t>
      </w:r>
    </w:p>
    <w:p w14:paraId="0A405D13" w14:textId="77777777" w:rsidR="00506DD3" w:rsidRPr="00506DD3" w:rsidRDefault="00506DD3">
      <w:pPr>
        <w:rPr>
          <w:b/>
          <w:sz w:val="28"/>
          <w:szCs w:val="28"/>
        </w:rPr>
      </w:pPr>
      <w:r w:rsidRPr="00506DD3">
        <w:rPr>
          <w:rFonts w:hint="eastAsia"/>
          <w:b/>
          <w:sz w:val="28"/>
          <w:szCs w:val="28"/>
        </w:rPr>
        <w:t>モンゴルの</w:t>
      </w:r>
      <w:r>
        <w:rPr>
          <w:rFonts w:hint="eastAsia"/>
          <w:b/>
          <w:sz w:val="28"/>
          <w:szCs w:val="28"/>
        </w:rPr>
        <w:t>第１回</w:t>
      </w:r>
      <w:r w:rsidRPr="00506DD3">
        <w:rPr>
          <w:rFonts w:hint="eastAsia"/>
          <w:b/>
          <w:sz w:val="28"/>
          <w:szCs w:val="28"/>
        </w:rPr>
        <w:t>報告に関する総括所見</w:t>
      </w:r>
    </w:p>
    <w:p w14:paraId="623F5779" w14:textId="77777777" w:rsidR="00506DD3" w:rsidRDefault="006654F5">
      <w:r>
        <w:rPr>
          <w:rFonts w:hint="eastAsia"/>
        </w:rPr>
        <w:t>Ⅰ．序</w:t>
      </w:r>
    </w:p>
    <w:p w14:paraId="330BB84A" w14:textId="77777777" w:rsidR="006654F5" w:rsidRDefault="006654F5" w:rsidP="006654F5">
      <w:pPr>
        <w:ind w:leftChars="200" w:left="420"/>
      </w:pPr>
      <w:r>
        <w:t>1.</w:t>
      </w:r>
      <w:r w:rsidR="00EE234E">
        <w:t xml:space="preserve"> </w:t>
      </w:r>
      <w:r w:rsidR="00EE234E">
        <w:rPr>
          <w:rFonts w:hint="eastAsia"/>
        </w:rPr>
        <w:t>委員会は、モンゴルの第１</w:t>
      </w:r>
      <w:r>
        <w:rPr>
          <w:rFonts w:hint="eastAsia"/>
        </w:rPr>
        <w:t>回報告（</w:t>
      </w:r>
      <w:r>
        <w:rPr>
          <w:rFonts w:hint="eastAsia"/>
        </w:rPr>
        <w:t>CRPD/C/MNG/1</w:t>
      </w:r>
      <w:r>
        <w:rPr>
          <w:rFonts w:hint="eastAsia"/>
        </w:rPr>
        <w:t>）の検討を</w:t>
      </w:r>
      <w:r>
        <w:rPr>
          <w:rFonts w:hint="eastAsia"/>
        </w:rPr>
        <w:t>2015</w:t>
      </w:r>
      <w:r>
        <w:rPr>
          <w:rFonts w:hint="eastAsia"/>
        </w:rPr>
        <w:t>年</w:t>
      </w:r>
      <w:r>
        <w:rPr>
          <w:rFonts w:hint="eastAsia"/>
        </w:rPr>
        <w:t>4</w:t>
      </w:r>
      <w:r>
        <w:rPr>
          <w:rFonts w:hint="eastAsia"/>
        </w:rPr>
        <w:t>月</w:t>
      </w:r>
      <w:r>
        <w:rPr>
          <w:rFonts w:hint="eastAsia"/>
        </w:rPr>
        <w:t>8</w:t>
      </w:r>
      <w:r>
        <w:rPr>
          <w:rFonts w:hint="eastAsia"/>
        </w:rPr>
        <w:t>日と</w:t>
      </w:r>
      <w:r>
        <w:rPr>
          <w:rFonts w:hint="eastAsia"/>
        </w:rPr>
        <w:t>9</w:t>
      </w:r>
      <w:r>
        <w:rPr>
          <w:rFonts w:hint="eastAsia"/>
        </w:rPr>
        <w:t>日に開催された第</w:t>
      </w:r>
      <w:r>
        <w:rPr>
          <w:rFonts w:hint="eastAsia"/>
        </w:rPr>
        <w:t>188</w:t>
      </w:r>
      <w:r>
        <w:rPr>
          <w:rFonts w:hint="eastAsia"/>
        </w:rPr>
        <w:t>会合と第</w:t>
      </w:r>
      <w:r>
        <w:rPr>
          <w:rFonts w:hint="eastAsia"/>
        </w:rPr>
        <w:t>189</w:t>
      </w:r>
      <w:r w:rsidR="00B418B9">
        <w:rPr>
          <w:rFonts w:hint="eastAsia"/>
        </w:rPr>
        <w:t>会合</w:t>
      </w:r>
      <w:r>
        <w:rPr>
          <w:rFonts w:hint="eastAsia"/>
        </w:rPr>
        <w:t>において行い、</w:t>
      </w:r>
      <w:r>
        <w:rPr>
          <w:rFonts w:hint="eastAsia"/>
        </w:rPr>
        <w:t>2015</w:t>
      </w:r>
      <w:r>
        <w:rPr>
          <w:rFonts w:hint="eastAsia"/>
        </w:rPr>
        <w:t>年</w:t>
      </w:r>
      <w:r>
        <w:rPr>
          <w:rFonts w:hint="eastAsia"/>
        </w:rPr>
        <w:t>4</w:t>
      </w:r>
      <w:r>
        <w:rPr>
          <w:rFonts w:hint="eastAsia"/>
        </w:rPr>
        <w:t>月</w:t>
      </w:r>
      <w:r>
        <w:rPr>
          <w:rFonts w:hint="eastAsia"/>
        </w:rPr>
        <w:t>16</w:t>
      </w:r>
      <w:r>
        <w:rPr>
          <w:rFonts w:hint="eastAsia"/>
        </w:rPr>
        <w:t>日に開催された第</w:t>
      </w:r>
      <w:r>
        <w:rPr>
          <w:rFonts w:hint="eastAsia"/>
        </w:rPr>
        <w:t>199</w:t>
      </w:r>
      <w:r>
        <w:rPr>
          <w:rFonts w:hint="eastAsia"/>
        </w:rPr>
        <w:t>会合において以下の総括所見を採択した。</w:t>
      </w:r>
    </w:p>
    <w:p w14:paraId="63A9C7F8" w14:textId="77777777" w:rsidR="006654F5" w:rsidRDefault="006654F5" w:rsidP="00582370">
      <w:pPr>
        <w:ind w:left="420" w:hangingChars="200" w:hanging="420"/>
      </w:pPr>
      <w:r>
        <w:rPr>
          <w:rFonts w:hint="eastAsia"/>
        </w:rPr>
        <w:t xml:space="preserve">    2.</w:t>
      </w:r>
      <w:r w:rsidR="00EE234E">
        <w:t xml:space="preserve"> </w:t>
      </w:r>
      <w:r w:rsidR="00582370">
        <w:rPr>
          <w:rFonts w:hint="eastAsia"/>
        </w:rPr>
        <w:t>委員会は、モンゴルの第１回報告と、委員会が用意</w:t>
      </w:r>
      <w:r w:rsidR="00EE234E">
        <w:rPr>
          <w:rFonts w:hint="eastAsia"/>
        </w:rPr>
        <w:t>した事前質問項目（</w:t>
      </w:r>
      <w:r w:rsidR="00EE234E">
        <w:rPr>
          <w:rFonts w:hint="eastAsia"/>
        </w:rPr>
        <w:t>CRPD/C/MNG/Q/1/Add.1</w:t>
      </w:r>
      <w:r w:rsidR="00B418B9">
        <w:rPr>
          <w:rFonts w:hint="eastAsia"/>
        </w:rPr>
        <w:t>）に対して</w:t>
      </w:r>
      <w:r w:rsidR="005E44D5">
        <w:rPr>
          <w:rFonts w:hint="eastAsia"/>
        </w:rPr>
        <w:t>、締約国が</w:t>
      </w:r>
      <w:r w:rsidR="00EE234E">
        <w:rPr>
          <w:rFonts w:hint="eastAsia"/>
        </w:rPr>
        <w:t>書面で回答</w:t>
      </w:r>
      <w:r w:rsidR="00B418B9">
        <w:rPr>
          <w:rFonts w:hint="eastAsia"/>
        </w:rPr>
        <w:t>を</w:t>
      </w:r>
      <w:r w:rsidR="00582370">
        <w:rPr>
          <w:rFonts w:hint="eastAsia"/>
        </w:rPr>
        <w:t>提供するため</w:t>
      </w:r>
      <w:r w:rsidR="00B418B9">
        <w:rPr>
          <w:rFonts w:hint="eastAsia"/>
        </w:rPr>
        <w:t>にとった</w:t>
      </w:r>
      <w:r w:rsidR="005E44D5">
        <w:rPr>
          <w:rFonts w:hint="eastAsia"/>
        </w:rPr>
        <w:t>尽力</w:t>
      </w:r>
      <w:r w:rsidR="00EE234E">
        <w:rPr>
          <w:rFonts w:hint="eastAsia"/>
        </w:rPr>
        <w:t>を歓迎する。</w:t>
      </w:r>
    </w:p>
    <w:p w14:paraId="0369742D" w14:textId="77777777" w:rsidR="00582370" w:rsidRDefault="00582370" w:rsidP="00582370">
      <w:pPr>
        <w:ind w:left="420" w:hangingChars="200" w:hanging="420"/>
      </w:pPr>
      <w:r>
        <w:rPr>
          <w:rFonts w:hint="eastAsia"/>
        </w:rPr>
        <w:t xml:space="preserve">　　</w:t>
      </w:r>
      <w:r>
        <w:rPr>
          <w:rFonts w:hint="eastAsia"/>
        </w:rPr>
        <w:t xml:space="preserve">3. </w:t>
      </w:r>
      <w:r w:rsidR="005E44D5">
        <w:rPr>
          <w:rFonts w:hint="eastAsia"/>
        </w:rPr>
        <w:t>委員会は、</w:t>
      </w:r>
      <w:r>
        <w:rPr>
          <w:rFonts w:hint="eastAsia"/>
        </w:rPr>
        <w:t>関連省庁や部局の代表者を含む、</w:t>
      </w:r>
      <w:r w:rsidR="005E44D5">
        <w:rPr>
          <w:rFonts w:hint="eastAsia"/>
        </w:rPr>
        <w:t>締約国の高官</w:t>
      </w:r>
      <w:r w:rsidR="008F655C">
        <w:rPr>
          <w:rFonts w:hint="eastAsia"/>
        </w:rPr>
        <w:t>代表団</w:t>
      </w:r>
      <w:r>
        <w:rPr>
          <w:rFonts w:hint="eastAsia"/>
        </w:rPr>
        <w:t>との間で行われた建設的対話に謝意を表す。委員会は、</w:t>
      </w:r>
      <w:r w:rsidR="00B418B9">
        <w:rPr>
          <w:rFonts w:hint="eastAsia"/>
        </w:rPr>
        <w:t>委員が行った</w:t>
      </w:r>
      <w:r w:rsidR="008F655C">
        <w:rPr>
          <w:rFonts w:hint="eastAsia"/>
        </w:rPr>
        <w:t>質問への代表団の</w:t>
      </w:r>
      <w:r w:rsidR="008D0FD9">
        <w:rPr>
          <w:rFonts w:hint="eastAsia"/>
        </w:rPr>
        <w:t>誠実な返答を</w:t>
      </w:r>
      <w:r w:rsidR="00402AF1">
        <w:rPr>
          <w:rFonts w:hint="eastAsia"/>
        </w:rPr>
        <w:t>称賛</w:t>
      </w:r>
      <w:r w:rsidR="008F655C">
        <w:rPr>
          <w:rFonts w:hint="eastAsia"/>
        </w:rPr>
        <w:t>する</w:t>
      </w:r>
      <w:r w:rsidR="005E44D5">
        <w:rPr>
          <w:rFonts w:hint="eastAsia"/>
        </w:rPr>
        <w:t>。委員会は、代表団の男女のバランスがとれていた点において</w:t>
      </w:r>
      <w:r w:rsidR="008D0FD9">
        <w:rPr>
          <w:rFonts w:hint="eastAsia"/>
        </w:rPr>
        <w:t>も締約国を称賛する。</w:t>
      </w:r>
    </w:p>
    <w:p w14:paraId="7F9A9838" w14:textId="11E7E870" w:rsidR="008D0FD9" w:rsidRPr="00582370" w:rsidRDefault="008D0FD9" w:rsidP="00582370">
      <w:pPr>
        <w:ind w:left="420" w:hangingChars="200" w:hanging="420"/>
      </w:pPr>
      <w:r>
        <w:rPr>
          <w:rFonts w:hint="eastAsia"/>
        </w:rPr>
        <w:t xml:space="preserve">　　委員会は、締約国が</w:t>
      </w:r>
      <w:r w:rsidR="00996A1C">
        <w:rPr>
          <w:rFonts w:hint="eastAsia"/>
        </w:rPr>
        <w:t>国内レベルの障害法と政策の変更を保証するという、条約の義務を実行するために</w:t>
      </w:r>
      <w:r w:rsidR="00402AF1">
        <w:rPr>
          <w:rFonts w:hint="eastAsia"/>
        </w:rPr>
        <w:t>採用</w:t>
      </w:r>
      <w:r w:rsidR="002D0F71">
        <w:rPr>
          <w:rFonts w:hint="eastAsia"/>
        </w:rPr>
        <w:t>した手段を</w:t>
      </w:r>
      <w:r w:rsidR="00402AF1">
        <w:rPr>
          <w:rFonts w:hint="eastAsia"/>
        </w:rPr>
        <w:t>記す</w:t>
      </w:r>
      <w:r w:rsidR="00996A1C">
        <w:rPr>
          <w:rFonts w:hint="eastAsia"/>
        </w:rPr>
        <w:t>にあたり</w:t>
      </w:r>
      <w:r w:rsidR="002D0F71">
        <w:rPr>
          <w:rFonts w:hint="eastAsia"/>
        </w:rPr>
        <w:t>、</w:t>
      </w:r>
      <w:r>
        <w:rPr>
          <w:rFonts w:hint="eastAsia"/>
        </w:rPr>
        <w:t>委員会の報告に関する</w:t>
      </w:r>
      <w:r w:rsidR="00E52D52">
        <w:rPr>
          <w:rFonts w:hint="eastAsia"/>
        </w:rPr>
        <w:t>指針</w:t>
      </w:r>
      <w:r w:rsidR="005E44D5">
        <w:rPr>
          <w:rFonts w:hint="eastAsia"/>
        </w:rPr>
        <w:t>に厳密</w:t>
      </w:r>
      <w:r w:rsidR="002D0F71">
        <w:rPr>
          <w:rFonts w:hint="eastAsia"/>
        </w:rPr>
        <w:t>に従</w:t>
      </w:r>
      <w:r w:rsidR="00402AF1">
        <w:rPr>
          <w:rFonts w:hint="eastAsia"/>
        </w:rPr>
        <w:t>ってい</w:t>
      </w:r>
      <w:r w:rsidR="002D0F71">
        <w:rPr>
          <w:rFonts w:hint="eastAsia"/>
        </w:rPr>
        <w:t>な</w:t>
      </w:r>
      <w:r w:rsidR="00233CAE">
        <w:rPr>
          <w:rFonts w:hint="eastAsia"/>
        </w:rPr>
        <w:t>いこと</w:t>
      </w:r>
      <w:r w:rsidR="00402AF1">
        <w:rPr>
          <w:rFonts w:hint="eastAsia"/>
        </w:rPr>
        <w:t>を</w:t>
      </w:r>
      <w:r>
        <w:rPr>
          <w:rFonts w:hint="eastAsia"/>
        </w:rPr>
        <w:t>懸念する</w:t>
      </w:r>
      <w:r w:rsidR="002D0F71">
        <w:rPr>
          <w:rFonts w:hint="eastAsia"/>
        </w:rPr>
        <w:t>。政策の</w:t>
      </w:r>
      <w:r w:rsidR="00402AF1">
        <w:rPr>
          <w:rFonts w:hint="eastAsia"/>
        </w:rPr>
        <w:t>調整の効果を</w:t>
      </w:r>
      <w:r w:rsidR="002D0F71">
        <w:rPr>
          <w:rFonts w:hint="eastAsia"/>
        </w:rPr>
        <w:t>保証する</w:t>
      </w:r>
      <w:r w:rsidR="008E7972">
        <w:rPr>
          <w:rFonts w:hint="eastAsia"/>
        </w:rPr>
        <w:t>ために締約国が</w:t>
      </w:r>
      <w:r w:rsidR="00BD7A61">
        <w:rPr>
          <w:rFonts w:hint="eastAsia"/>
        </w:rPr>
        <w:t>取った</w:t>
      </w:r>
      <w:r w:rsidR="00996A1C">
        <w:rPr>
          <w:rFonts w:hint="eastAsia"/>
        </w:rPr>
        <w:t>手段</w:t>
      </w:r>
      <w:r w:rsidR="00BD7A61">
        <w:rPr>
          <w:rFonts w:hint="eastAsia"/>
        </w:rPr>
        <w:t>の具体的な説明があり</w:t>
      </w:r>
      <w:r w:rsidR="005E44D5">
        <w:rPr>
          <w:rFonts w:hint="eastAsia"/>
        </w:rPr>
        <w:t>、</w:t>
      </w:r>
      <w:r w:rsidR="00BD7A61">
        <w:rPr>
          <w:rFonts w:hint="eastAsia"/>
        </w:rPr>
        <w:t>実践するための</w:t>
      </w:r>
      <w:r w:rsidR="002D0F71">
        <w:rPr>
          <w:rFonts w:hint="eastAsia"/>
        </w:rPr>
        <w:t>戦略的アプローチ</w:t>
      </w:r>
      <w:r w:rsidR="00BD7A61">
        <w:rPr>
          <w:rFonts w:hint="eastAsia"/>
        </w:rPr>
        <w:t>が</w:t>
      </w:r>
      <w:r w:rsidR="00402AF1">
        <w:rPr>
          <w:rFonts w:hint="eastAsia"/>
        </w:rPr>
        <w:t>採用</w:t>
      </w:r>
      <w:r w:rsidR="00BD7A61">
        <w:rPr>
          <w:rFonts w:hint="eastAsia"/>
        </w:rPr>
        <w:t>されていれ</w:t>
      </w:r>
      <w:r w:rsidR="008E7972">
        <w:rPr>
          <w:rFonts w:hint="eastAsia"/>
        </w:rPr>
        <w:t>ば</w:t>
      </w:r>
      <w:r w:rsidR="00402AF1">
        <w:rPr>
          <w:rFonts w:hint="eastAsia"/>
        </w:rPr>
        <w:t>有益</w:t>
      </w:r>
      <w:r w:rsidR="008E7972">
        <w:rPr>
          <w:rFonts w:hint="eastAsia"/>
        </w:rPr>
        <w:t>だった</w:t>
      </w:r>
      <w:r w:rsidR="002D0F71">
        <w:rPr>
          <w:rFonts w:hint="eastAsia"/>
        </w:rPr>
        <w:t>であろう。委員会は、この懸念を本総括所見の関連する条項のもとに</w:t>
      </w:r>
      <w:r w:rsidR="00402AF1">
        <w:rPr>
          <w:rFonts w:hint="eastAsia"/>
        </w:rPr>
        <w:t>記す</w:t>
      </w:r>
      <w:r w:rsidR="002D0F71">
        <w:rPr>
          <w:rFonts w:hint="eastAsia"/>
        </w:rPr>
        <w:t>。</w:t>
      </w:r>
    </w:p>
    <w:p w14:paraId="68CE8D2F" w14:textId="77777777" w:rsidR="00506DD3" w:rsidRPr="00402AF1" w:rsidRDefault="00506DD3"/>
    <w:p w14:paraId="570B3331" w14:textId="77777777" w:rsidR="00A0085D" w:rsidRDefault="002D0F71" w:rsidP="002D0F71">
      <w:r>
        <w:rPr>
          <w:rFonts w:hint="eastAsia"/>
        </w:rPr>
        <w:t>Ⅱ．</w:t>
      </w:r>
      <w:r w:rsidR="00A0085D">
        <w:rPr>
          <w:rFonts w:hint="eastAsia"/>
        </w:rPr>
        <w:t>積極的側面</w:t>
      </w:r>
    </w:p>
    <w:p w14:paraId="63B7C6F3" w14:textId="77777777" w:rsidR="00A0085D" w:rsidRDefault="002D0F71" w:rsidP="00A0085D">
      <w:pPr>
        <w:pStyle w:val="a3"/>
        <w:ind w:leftChars="0" w:left="360"/>
      </w:pPr>
      <w:r>
        <w:t>4</w:t>
      </w:r>
      <w:r w:rsidR="00A0085D">
        <w:t xml:space="preserve">. </w:t>
      </w:r>
      <w:r w:rsidR="00D03355">
        <w:rPr>
          <w:rFonts w:hint="eastAsia"/>
        </w:rPr>
        <w:t>委員会は、締約国が自国の法律を見直し修正</w:t>
      </w:r>
      <w:r>
        <w:rPr>
          <w:rFonts w:hint="eastAsia"/>
        </w:rPr>
        <w:t>したこと、特に関連省庁、機関、障害者</w:t>
      </w:r>
      <w:r w:rsidR="00407DF4">
        <w:rPr>
          <w:rFonts w:hint="eastAsia"/>
        </w:rPr>
        <w:t>団体の代表者たちとワーキンググループを設置したことを称賛する。</w:t>
      </w:r>
      <w:r w:rsidR="00A0085D">
        <w:rPr>
          <w:rFonts w:hint="eastAsia"/>
        </w:rPr>
        <w:t>委員会は、</w:t>
      </w:r>
      <w:r>
        <w:rPr>
          <w:rFonts w:hint="eastAsia"/>
        </w:rPr>
        <w:t>以下の点において</w:t>
      </w:r>
      <w:r w:rsidR="00407DF4">
        <w:rPr>
          <w:rFonts w:hint="eastAsia"/>
        </w:rPr>
        <w:t>も</w:t>
      </w:r>
      <w:r>
        <w:rPr>
          <w:rFonts w:hint="eastAsia"/>
        </w:rPr>
        <w:t>締約国を称賛する：</w:t>
      </w:r>
    </w:p>
    <w:p w14:paraId="1C58448D" w14:textId="77777777" w:rsidR="002D0F71" w:rsidRDefault="002D0F71" w:rsidP="00A0085D">
      <w:pPr>
        <w:pStyle w:val="a3"/>
        <w:ind w:leftChars="0" w:left="360"/>
      </w:pPr>
      <w:r>
        <w:rPr>
          <w:rFonts w:hint="eastAsia"/>
        </w:rPr>
        <w:t>(</w:t>
      </w:r>
      <w:r>
        <w:t xml:space="preserve">a) </w:t>
      </w:r>
      <w:r>
        <w:rPr>
          <w:rFonts w:hint="eastAsia"/>
        </w:rPr>
        <w:t>国内法と政策が</w:t>
      </w:r>
      <w:r w:rsidR="00407DF4">
        <w:rPr>
          <w:rFonts w:hint="eastAsia"/>
        </w:rPr>
        <w:t>条約に準拠することを</w:t>
      </w:r>
      <w:r>
        <w:rPr>
          <w:rFonts w:hint="eastAsia"/>
        </w:rPr>
        <w:t>保証するための</w:t>
      </w:r>
      <w:r w:rsidR="00407DF4">
        <w:rPr>
          <w:rFonts w:hint="eastAsia"/>
        </w:rPr>
        <w:t>措置</w:t>
      </w:r>
      <w:r>
        <w:rPr>
          <w:rFonts w:hint="eastAsia"/>
        </w:rPr>
        <w:t>をとったこと。</w:t>
      </w:r>
    </w:p>
    <w:p w14:paraId="014A9AC3" w14:textId="3ED5AA66" w:rsidR="002D0F71" w:rsidRDefault="002D0F71" w:rsidP="00A0085D">
      <w:pPr>
        <w:pStyle w:val="a3"/>
        <w:ind w:leftChars="0" w:left="360"/>
      </w:pPr>
      <w:r>
        <w:rPr>
          <w:rFonts w:hint="eastAsia"/>
        </w:rPr>
        <w:t>(</w:t>
      </w:r>
      <w:r>
        <w:t>b)</w:t>
      </w:r>
      <w:r w:rsidRPr="00EA65E1">
        <w:rPr>
          <w:color w:val="FF0000"/>
        </w:rPr>
        <w:t xml:space="preserve"> </w:t>
      </w:r>
      <w:r w:rsidR="00C670E4" w:rsidRPr="00E75671">
        <w:rPr>
          <w:rFonts w:hint="eastAsia"/>
        </w:rPr>
        <w:t>条約を、</w:t>
      </w:r>
      <w:r w:rsidR="00D03355" w:rsidRPr="00E75671">
        <w:t>国内レベルの障害法</w:t>
      </w:r>
      <w:r w:rsidR="00407DF4" w:rsidRPr="00E75671">
        <w:t>の作成</w:t>
      </w:r>
      <w:r w:rsidR="00D03355" w:rsidRPr="00E75671">
        <w:t>と政策の変更</w:t>
      </w:r>
      <w:r w:rsidR="00407DF4" w:rsidRPr="00E75671">
        <w:t>を</w:t>
      </w:r>
      <w:r w:rsidR="00C670E4" w:rsidRPr="00E75671">
        <w:rPr>
          <w:rFonts w:hint="eastAsia"/>
        </w:rPr>
        <w:t>発展させる</w:t>
      </w:r>
      <w:r w:rsidR="00D03355" w:rsidRPr="00E75671">
        <w:t>ための手段として</w:t>
      </w:r>
      <w:r w:rsidR="00C670E4" w:rsidRPr="00E75671">
        <w:rPr>
          <w:rFonts w:hint="eastAsia"/>
        </w:rPr>
        <w:t>の</w:t>
      </w:r>
      <w:r w:rsidR="00D03355" w:rsidRPr="00E75671">
        <w:t>理解を深め</w:t>
      </w:r>
      <w:r w:rsidR="00EA65E1" w:rsidRPr="00E75671">
        <w:t>て</w:t>
      </w:r>
      <w:r w:rsidR="00C670E4" w:rsidRPr="00E75671">
        <w:rPr>
          <w:rFonts w:hint="eastAsia"/>
        </w:rPr>
        <w:t>おり、そのために</w:t>
      </w:r>
      <w:r w:rsidR="00E75671" w:rsidRPr="00E75671">
        <w:rPr>
          <w:rFonts w:hint="eastAsia"/>
        </w:rPr>
        <w:t>国際</w:t>
      </w:r>
      <w:r w:rsidR="00C670E4" w:rsidRPr="00E75671">
        <w:rPr>
          <w:rFonts w:hint="eastAsia"/>
        </w:rPr>
        <w:t>協力も広く活用していること</w:t>
      </w:r>
      <w:r w:rsidR="00D03355" w:rsidRPr="00E75671">
        <w:t>。</w:t>
      </w:r>
    </w:p>
    <w:p w14:paraId="261FCD89" w14:textId="77777777" w:rsidR="00D03355" w:rsidRDefault="00D03355" w:rsidP="00A0085D">
      <w:pPr>
        <w:pStyle w:val="a3"/>
        <w:ind w:leftChars="0" w:left="360"/>
      </w:pPr>
      <w:r>
        <w:rPr>
          <w:rFonts w:hint="eastAsia"/>
        </w:rPr>
        <w:t xml:space="preserve">(c) </w:t>
      </w:r>
      <w:r w:rsidR="00EA65E1">
        <w:rPr>
          <w:rFonts w:hint="eastAsia"/>
        </w:rPr>
        <w:t>憲法及び</w:t>
      </w:r>
      <w:r w:rsidR="00CF524F">
        <w:rPr>
          <w:rFonts w:hint="eastAsia"/>
        </w:rPr>
        <w:t>締約国が批准した人権条約及び</w:t>
      </w:r>
      <w:r>
        <w:rPr>
          <w:rFonts w:hint="eastAsia"/>
        </w:rPr>
        <w:t>国際労働機関の条約に記されている法規を</w:t>
      </w:r>
      <w:r w:rsidR="00C310F9">
        <w:rPr>
          <w:rFonts w:hint="eastAsia"/>
        </w:rPr>
        <w:t>実施</w:t>
      </w:r>
      <w:r w:rsidR="00EA65E1">
        <w:rPr>
          <w:rFonts w:hint="eastAsia"/>
        </w:rPr>
        <w:t>するために何年も尽力していること</w:t>
      </w:r>
      <w:r>
        <w:rPr>
          <w:rFonts w:hint="eastAsia"/>
        </w:rPr>
        <w:t>。</w:t>
      </w:r>
    </w:p>
    <w:p w14:paraId="2D1CB812" w14:textId="77777777" w:rsidR="00D03355" w:rsidRDefault="00D03355" w:rsidP="00A0085D">
      <w:pPr>
        <w:pStyle w:val="a3"/>
        <w:ind w:leftChars="0" w:left="360"/>
      </w:pPr>
      <w:r>
        <w:rPr>
          <w:rFonts w:hint="eastAsia"/>
        </w:rPr>
        <w:t>(d) 2012</w:t>
      </w:r>
      <w:r>
        <w:rPr>
          <w:rFonts w:hint="eastAsia"/>
        </w:rPr>
        <w:t>年に</w:t>
      </w:r>
      <w:r w:rsidR="00CF524F">
        <w:rPr>
          <w:rFonts w:hint="eastAsia"/>
        </w:rPr>
        <w:t>、</w:t>
      </w:r>
      <w:r w:rsidR="00C310F9">
        <w:rPr>
          <w:rFonts w:hint="eastAsia"/>
        </w:rPr>
        <w:t>アジア太平洋障害者の「権利を実現する」インチョン戦略を実施するための計画を採択したこと。</w:t>
      </w:r>
    </w:p>
    <w:p w14:paraId="41CE4B77" w14:textId="77777777" w:rsidR="00C310F9" w:rsidRDefault="00C310F9" w:rsidP="00A0085D">
      <w:pPr>
        <w:pStyle w:val="a3"/>
        <w:ind w:leftChars="0" w:left="360"/>
      </w:pPr>
      <w:r>
        <w:rPr>
          <w:rFonts w:hint="eastAsia"/>
        </w:rPr>
        <w:t>(e) 2008</w:t>
      </w:r>
      <w:r w:rsidR="00CF524F">
        <w:rPr>
          <w:rFonts w:hint="eastAsia"/>
        </w:rPr>
        <w:t>～</w:t>
      </w:r>
      <w:r>
        <w:rPr>
          <w:rFonts w:hint="eastAsia"/>
        </w:rPr>
        <w:t>2012</w:t>
      </w:r>
      <w:r>
        <w:rPr>
          <w:rFonts w:hint="eastAsia"/>
        </w:rPr>
        <w:t>年行動計画を</w:t>
      </w:r>
      <w:r w:rsidR="00CF524F">
        <w:rPr>
          <w:rFonts w:hint="eastAsia"/>
        </w:rPr>
        <w:t>開始し</w:t>
      </w:r>
      <w:r>
        <w:rPr>
          <w:rFonts w:hint="eastAsia"/>
        </w:rPr>
        <w:t>たこと。</w:t>
      </w:r>
    </w:p>
    <w:p w14:paraId="2231E9EA" w14:textId="77777777" w:rsidR="00A0085D" w:rsidRPr="00CF524F" w:rsidRDefault="00A0085D" w:rsidP="00A0085D">
      <w:pPr>
        <w:pStyle w:val="a3"/>
        <w:ind w:leftChars="0" w:left="360"/>
      </w:pPr>
    </w:p>
    <w:p w14:paraId="6FE77159" w14:textId="77777777" w:rsidR="00A0085D" w:rsidRDefault="00C310F9" w:rsidP="00C310F9">
      <w:r>
        <w:rPr>
          <w:rFonts w:hint="eastAsia"/>
        </w:rPr>
        <w:t>Ⅲ．</w:t>
      </w:r>
      <w:r w:rsidR="00A0085D">
        <w:rPr>
          <w:rFonts w:hint="eastAsia"/>
        </w:rPr>
        <w:t>主要な懸念分野と勧告</w:t>
      </w:r>
    </w:p>
    <w:p w14:paraId="1CF45E24" w14:textId="77777777" w:rsidR="00A0085D" w:rsidRDefault="00C310F9" w:rsidP="00C310F9">
      <w:pPr>
        <w:pStyle w:val="a3"/>
        <w:numPr>
          <w:ilvl w:val="0"/>
          <w:numId w:val="6"/>
        </w:numPr>
        <w:ind w:leftChars="0"/>
      </w:pPr>
      <w:r>
        <w:rPr>
          <w:rFonts w:hint="eastAsia"/>
        </w:rPr>
        <w:t xml:space="preserve"> </w:t>
      </w:r>
      <w:r w:rsidR="00A0085D">
        <w:rPr>
          <w:rFonts w:hint="eastAsia"/>
        </w:rPr>
        <w:t>一般的原則と義務（第</w:t>
      </w:r>
      <w:r w:rsidR="00A0085D">
        <w:rPr>
          <w:rFonts w:hint="eastAsia"/>
        </w:rPr>
        <w:t>1</w:t>
      </w:r>
      <w:r w:rsidR="00A0085D">
        <w:rPr>
          <w:rFonts w:hint="eastAsia"/>
        </w:rPr>
        <w:t>条－第</w:t>
      </w:r>
      <w:r w:rsidR="00A0085D">
        <w:rPr>
          <w:rFonts w:hint="eastAsia"/>
        </w:rPr>
        <w:t>4</w:t>
      </w:r>
      <w:r w:rsidR="00A0085D">
        <w:rPr>
          <w:rFonts w:hint="eastAsia"/>
        </w:rPr>
        <w:t>条）</w:t>
      </w:r>
    </w:p>
    <w:p w14:paraId="65CC59D3" w14:textId="77777777" w:rsidR="00A0085D" w:rsidRDefault="00A0085D" w:rsidP="00A0085D">
      <w:pPr>
        <w:pStyle w:val="a3"/>
        <w:ind w:leftChars="0" w:left="440"/>
      </w:pPr>
      <w:r>
        <w:rPr>
          <w:rFonts w:hint="eastAsia"/>
        </w:rPr>
        <w:t>5</w:t>
      </w:r>
      <w:r>
        <w:t xml:space="preserve">. </w:t>
      </w:r>
      <w:r w:rsidR="00192E7F">
        <w:rPr>
          <w:rFonts w:hint="eastAsia"/>
        </w:rPr>
        <w:t>委員会は</w:t>
      </w:r>
      <w:r w:rsidR="001C353D">
        <w:rPr>
          <w:rFonts w:hint="eastAsia"/>
        </w:rPr>
        <w:t>、</w:t>
      </w:r>
      <w:r w:rsidR="00C310F9">
        <w:rPr>
          <w:rFonts w:hint="eastAsia"/>
        </w:rPr>
        <w:t>締約国が世界保健機構の障害の概念に固執し、個人に内在している、もしくは医学的損傷に起因する条件に焦点を当てているため、環境的要因を見落として</w:t>
      </w:r>
      <w:r w:rsidR="00CF524F">
        <w:rPr>
          <w:rFonts w:hint="eastAsia"/>
        </w:rPr>
        <w:lastRenderedPageBreak/>
        <w:t>いることを懸念する。条約は障害の概念は</w:t>
      </w:r>
      <w:r w:rsidR="00C310F9">
        <w:rPr>
          <w:rFonts w:hint="eastAsia"/>
        </w:rPr>
        <w:t>進化していくと</w:t>
      </w:r>
      <w:r w:rsidR="00CF524F">
        <w:rPr>
          <w:rFonts w:hint="eastAsia"/>
        </w:rPr>
        <w:t>認識して</w:t>
      </w:r>
      <w:r w:rsidR="00C310F9">
        <w:rPr>
          <w:rFonts w:hint="eastAsia"/>
        </w:rPr>
        <w:t>いる</w:t>
      </w:r>
      <w:r w:rsidR="00CF524F">
        <w:rPr>
          <w:rFonts w:hint="eastAsia"/>
        </w:rPr>
        <w:t>が</w:t>
      </w:r>
      <w:r w:rsidR="00C310F9">
        <w:rPr>
          <w:rFonts w:hint="eastAsia"/>
        </w:rPr>
        <w:t>、締約国は</w:t>
      </w:r>
      <w:r w:rsidR="003B6A57">
        <w:rPr>
          <w:rFonts w:hint="eastAsia"/>
        </w:rPr>
        <w:t>「恒久的障害」の概念に囚われているように</w:t>
      </w:r>
      <w:r w:rsidR="00CF524F">
        <w:rPr>
          <w:rFonts w:hint="eastAsia"/>
        </w:rPr>
        <w:t>思われる</w:t>
      </w:r>
      <w:r w:rsidR="003B6A57">
        <w:rPr>
          <w:rFonts w:hint="eastAsia"/>
        </w:rPr>
        <w:t>。</w:t>
      </w:r>
    </w:p>
    <w:p w14:paraId="6B9EF02E" w14:textId="77777777" w:rsidR="00192E7F" w:rsidRDefault="003B6A57" w:rsidP="00A0085D">
      <w:pPr>
        <w:pStyle w:val="a3"/>
        <w:ind w:leftChars="0" w:left="440"/>
      </w:pPr>
      <w:r>
        <w:rPr>
          <w:rFonts w:hint="eastAsia"/>
        </w:rPr>
        <w:t>6</w:t>
      </w:r>
      <w:r w:rsidR="00192E7F">
        <w:t xml:space="preserve">. </w:t>
      </w:r>
      <w:r w:rsidR="00192E7F">
        <w:rPr>
          <w:rFonts w:hint="eastAsia"/>
        </w:rPr>
        <w:t>委員会は</w:t>
      </w:r>
      <w:r>
        <w:rPr>
          <w:rFonts w:hint="eastAsia"/>
        </w:rPr>
        <w:t>、障害についての締約国の法律と政策は、条約のすべての条項と調和し</w:t>
      </w:r>
      <w:r w:rsidR="00CF524F">
        <w:rPr>
          <w:rFonts w:hint="eastAsia"/>
        </w:rPr>
        <w:t>ておらず、</w:t>
      </w:r>
      <w:r w:rsidR="00C670E4">
        <w:rPr>
          <w:rFonts w:hint="eastAsia"/>
        </w:rPr>
        <w:t>また</w:t>
      </w:r>
      <w:r>
        <w:rPr>
          <w:rFonts w:hint="eastAsia"/>
        </w:rPr>
        <w:t>相互依存性を充分に反映していないことを懸念する。</w:t>
      </w:r>
    </w:p>
    <w:p w14:paraId="4B711091" w14:textId="77777777" w:rsidR="003B6A57" w:rsidRDefault="003B6A57" w:rsidP="00A0085D">
      <w:pPr>
        <w:pStyle w:val="a3"/>
        <w:ind w:leftChars="0" w:left="440"/>
      </w:pPr>
      <w:r>
        <w:rPr>
          <w:rFonts w:hint="eastAsia"/>
        </w:rPr>
        <w:t xml:space="preserve">7. </w:t>
      </w:r>
      <w:r>
        <w:rPr>
          <w:rFonts w:hint="eastAsia"/>
        </w:rPr>
        <w:t>委員会は以下を締約国に勧告する：</w:t>
      </w:r>
    </w:p>
    <w:p w14:paraId="4B956E41" w14:textId="77777777" w:rsidR="003B6A57" w:rsidRDefault="003B6A57" w:rsidP="00A0085D">
      <w:pPr>
        <w:pStyle w:val="a3"/>
        <w:ind w:leftChars="0" w:left="440"/>
      </w:pPr>
      <w:r>
        <w:rPr>
          <w:rFonts w:hint="eastAsia"/>
        </w:rPr>
        <w:t xml:space="preserve">(a) </w:t>
      </w:r>
      <w:r>
        <w:rPr>
          <w:rFonts w:hint="eastAsia"/>
        </w:rPr>
        <w:t>条約に完全に</w:t>
      </w:r>
      <w:r w:rsidR="00CF524F">
        <w:rPr>
          <w:rFonts w:hint="eastAsia"/>
        </w:rPr>
        <w:t>準拠するこ</w:t>
      </w:r>
      <w:r>
        <w:rPr>
          <w:rFonts w:hint="eastAsia"/>
        </w:rPr>
        <w:t>とと</w:t>
      </w:r>
      <w:r w:rsidR="00CF524F">
        <w:rPr>
          <w:rFonts w:hint="eastAsia"/>
        </w:rPr>
        <w:t>、その</w:t>
      </w:r>
      <w:r>
        <w:rPr>
          <w:rFonts w:hint="eastAsia"/>
        </w:rPr>
        <w:t>条項の相互依存</w:t>
      </w:r>
      <w:r w:rsidR="00FD1A29">
        <w:rPr>
          <w:rFonts w:hint="eastAsia"/>
        </w:rPr>
        <w:t>性を保証するために国内法と政策を調和させること、そして障害者の人間</w:t>
      </w:r>
      <w:r>
        <w:rPr>
          <w:rFonts w:hint="eastAsia"/>
        </w:rPr>
        <w:t>としての尊厳</w:t>
      </w:r>
      <w:r w:rsidR="00FD1A29">
        <w:rPr>
          <w:rFonts w:hint="eastAsia"/>
        </w:rPr>
        <w:t>及び</w:t>
      </w:r>
      <w:r w:rsidR="00CF524F">
        <w:rPr>
          <w:rFonts w:hint="eastAsia"/>
        </w:rPr>
        <w:t>、</w:t>
      </w:r>
      <w:r>
        <w:rPr>
          <w:rFonts w:hint="eastAsia"/>
        </w:rPr>
        <w:t>他の者との平等を基礎として社会に完全かつ効果的に参加することを阻害しうる様々な障壁と</w:t>
      </w:r>
      <w:r w:rsidR="00FD1A29">
        <w:rPr>
          <w:rFonts w:hint="eastAsia"/>
        </w:rPr>
        <w:t>の相互作用から発生する条件を重視する、障害の人権モデルを採用</w:t>
      </w:r>
      <w:r w:rsidR="00C356C1">
        <w:rPr>
          <w:rFonts w:hint="eastAsia"/>
        </w:rPr>
        <w:t>すること。</w:t>
      </w:r>
    </w:p>
    <w:p w14:paraId="3EB39CD0" w14:textId="77777777" w:rsidR="00C356C1" w:rsidRDefault="00C356C1" w:rsidP="00A0085D">
      <w:pPr>
        <w:pStyle w:val="a3"/>
        <w:ind w:leftChars="0" w:left="440"/>
      </w:pPr>
      <w:r>
        <w:rPr>
          <w:rFonts w:hint="eastAsia"/>
        </w:rPr>
        <w:t xml:space="preserve">(b) </w:t>
      </w:r>
      <w:r w:rsidR="00FD1A29">
        <w:rPr>
          <w:rFonts w:hint="eastAsia"/>
        </w:rPr>
        <w:t>政策の整合、基準、タイムライン、適切な財源を</w:t>
      </w:r>
      <w:r>
        <w:rPr>
          <w:rFonts w:hint="eastAsia"/>
        </w:rPr>
        <w:t>明確</w:t>
      </w:r>
      <w:r w:rsidR="00FD1A29">
        <w:rPr>
          <w:rFonts w:hint="eastAsia"/>
        </w:rPr>
        <w:t>に組みこんだ</w:t>
      </w:r>
      <w:r w:rsidR="00C670E4">
        <w:rPr>
          <w:rFonts w:hint="eastAsia"/>
        </w:rPr>
        <w:t>、実施のための戦略を作ること。</w:t>
      </w:r>
    </w:p>
    <w:p w14:paraId="0B93B24E" w14:textId="77777777" w:rsidR="004A005E" w:rsidRPr="00FD1A29" w:rsidRDefault="004A005E" w:rsidP="004A005E"/>
    <w:p w14:paraId="3C2C0C8A" w14:textId="77777777" w:rsidR="00A0085D" w:rsidRDefault="00A0085D" w:rsidP="00C356C1">
      <w:pPr>
        <w:pStyle w:val="a3"/>
        <w:numPr>
          <w:ilvl w:val="0"/>
          <w:numId w:val="6"/>
        </w:numPr>
        <w:ind w:leftChars="0"/>
      </w:pPr>
      <w:r>
        <w:rPr>
          <w:rFonts w:hint="eastAsia"/>
        </w:rPr>
        <w:t>個別の権利（第</w:t>
      </w:r>
      <w:r>
        <w:rPr>
          <w:rFonts w:hint="eastAsia"/>
        </w:rPr>
        <w:t>5</w:t>
      </w:r>
      <w:r>
        <w:rPr>
          <w:rFonts w:hint="eastAsia"/>
        </w:rPr>
        <w:t>条－第</w:t>
      </w:r>
      <w:r>
        <w:rPr>
          <w:rFonts w:hint="eastAsia"/>
        </w:rPr>
        <w:t>30</w:t>
      </w:r>
      <w:r>
        <w:rPr>
          <w:rFonts w:hint="eastAsia"/>
        </w:rPr>
        <w:t>条）</w:t>
      </w:r>
    </w:p>
    <w:p w14:paraId="00E9D870" w14:textId="77777777" w:rsidR="004A005E" w:rsidRDefault="006E0E12" w:rsidP="004A005E">
      <w:pPr>
        <w:pStyle w:val="a3"/>
        <w:ind w:leftChars="0" w:left="440"/>
      </w:pPr>
      <w:r>
        <w:rPr>
          <w:rFonts w:hint="eastAsia"/>
        </w:rPr>
        <w:t>平等及び無</w:t>
      </w:r>
      <w:r w:rsidR="004A005E">
        <w:rPr>
          <w:rFonts w:hint="eastAsia"/>
        </w:rPr>
        <w:t>差別（第</w:t>
      </w:r>
      <w:r w:rsidR="004A005E">
        <w:rPr>
          <w:rFonts w:hint="eastAsia"/>
        </w:rPr>
        <w:t>5</w:t>
      </w:r>
      <w:r w:rsidR="004A005E">
        <w:rPr>
          <w:rFonts w:hint="eastAsia"/>
        </w:rPr>
        <w:t>条）</w:t>
      </w:r>
    </w:p>
    <w:p w14:paraId="2620ED0C" w14:textId="0DF81CFA" w:rsidR="004A005E" w:rsidRDefault="00C356C1" w:rsidP="004A005E">
      <w:pPr>
        <w:pStyle w:val="a3"/>
        <w:ind w:leftChars="0" w:left="440"/>
      </w:pPr>
      <w:r>
        <w:rPr>
          <w:rFonts w:hint="eastAsia"/>
        </w:rPr>
        <w:t>8</w:t>
      </w:r>
      <w:r w:rsidR="004A005E">
        <w:t xml:space="preserve">. </w:t>
      </w:r>
      <w:r w:rsidR="00BD7E22">
        <w:rPr>
          <w:rFonts w:hint="eastAsia"/>
        </w:rPr>
        <w:t>委員会は</w:t>
      </w:r>
      <w:r w:rsidR="00601F6D">
        <w:rPr>
          <w:rFonts w:hint="eastAsia"/>
        </w:rPr>
        <w:t>、</w:t>
      </w:r>
      <w:r w:rsidR="00646D31">
        <w:rPr>
          <w:rFonts w:hint="eastAsia"/>
        </w:rPr>
        <w:t>締約国の障害に関連した</w:t>
      </w:r>
      <w:r w:rsidR="001603B3">
        <w:rPr>
          <w:rFonts w:hint="eastAsia"/>
        </w:rPr>
        <w:t>差別禁止法の</w:t>
      </w:r>
      <w:r w:rsidR="00E75671">
        <w:rPr>
          <w:rFonts w:hint="eastAsia"/>
        </w:rPr>
        <w:t>性質が</w:t>
      </w:r>
      <w:r w:rsidR="001603B3">
        <w:rPr>
          <w:rFonts w:hint="eastAsia"/>
        </w:rPr>
        <w:t>断片的であること</w:t>
      </w:r>
      <w:r>
        <w:rPr>
          <w:rFonts w:hint="eastAsia"/>
        </w:rPr>
        <w:t>、</w:t>
      </w:r>
      <w:r w:rsidR="001603B3">
        <w:rPr>
          <w:rFonts w:hint="eastAsia"/>
        </w:rPr>
        <w:t>及び</w:t>
      </w:r>
      <w:r>
        <w:rPr>
          <w:rFonts w:hint="eastAsia"/>
        </w:rPr>
        <w:t>条約を実施するための戦略の一部である</w:t>
      </w:r>
      <w:r w:rsidR="001603B3">
        <w:rPr>
          <w:rFonts w:hint="eastAsia"/>
        </w:rPr>
        <w:t>、一貫性のある</w:t>
      </w:r>
      <w:r>
        <w:rPr>
          <w:rFonts w:hint="eastAsia"/>
        </w:rPr>
        <w:t>国内法</w:t>
      </w:r>
      <w:r w:rsidR="001603B3">
        <w:rPr>
          <w:rFonts w:hint="eastAsia"/>
        </w:rPr>
        <w:t>の</w:t>
      </w:r>
      <w:r w:rsidR="00601F6D">
        <w:rPr>
          <w:rFonts w:hint="eastAsia"/>
        </w:rPr>
        <w:t>効果的</w:t>
      </w:r>
      <w:r w:rsidR="001603B3">
        <w:rPr>
          <w:rFonts w:hint="eastAsia"/>
        </w:rPr>
        <w:t>な</w:t>
      </w:r>
      <w:r w:rsidR="00601F6D">
        <w:rPr>
          <w:rFonts w:hint="eastAsia"/>
        </w:rPr>
        <w:t>実施</w:t>
      </w:r>
      <w:r w:rsidR="001603B3">
        <w:rPr>
          <w:rFonts w:hint="eastAsia"/>
        </w:rPr>
        <w:t>を保証するための</w:t>
      </w:r>
      <w:r w:rsidR="00601F6D">
        <w:rPr>
          <w:rFonts w:hint="eastAsia"/>
        </w:rPr>
        <w:t>、障害者団体と各省庁</w:t>
      </w:r>
      <w:r w:rsidR="005B3686">
        <w:rPr>
          <w:rFonts w:hint="eastAsia"/>
        </w:rPr>
        <w:t>間</w:t>
      </w:r>
      <w:r w:rsidR="00601F6D">
        <w:rPr>
          <w:rFonts w:hint="eastAsia"/>
        </w:rPr>
        <w:t>を含む調整が不足していることを懸念する。さらに委員会は、締約国が</w:t>
      </w:r>
      <w:r w:rsidR="00601F6D" w:rsidRPr="00E75671">
        <w:rPr>
          <w:rFonts w:hint="eastAsia"/>
        </w:rPr>
        <w:t>合理的配慮の否定は</w:t>
      </w:r>
      <w:r w:rsidR="005B3686" w:rsidRPr="00E75671">
        <w:rPr>
          <w:rFonts w:hint="eastAsia"/>
        </w:rPr>
        <w:t>差別の理由とし</w:t>
      </w:r>
      <w:r w:rsidR="00601F6D" w:rsidRPr="00E75671">
        <w:rPr>
          <w:rFonts w:hint="eastAsia"/>
        </w:rPr>
        <w:t>て禁止されていることを法的に認識していないことを懸念する</w:t>
      </w:r>
      <w:r w:rsidR="00601F6D">
        <w:rPr>
          <w:rFonts w:hint="eastAsia"/>
        </w:rPr>
        <w:t>。</w:t>
      </w:r>
    </w:p>
    <w:p w14:paraId="5832AD37" w14:textId="65F674DA" w:rsidR="007D37DF" w:rsidRDefault="00601F6D" w:rsidP="00601F6D">
      <w:pPr>
        <w:pStyle w:val="a3"/>
        <w:ind w:leftChars="0" w:left="440"/>
      </w:pPr>
      <w:r>
        <w:rPr>
          <w:rFonts w:hint="eastAsia"/>
        </w:rPr>
        <w:t>9</w:t>
      </w:r>
      <w:r w:rsidR="007D37DF">
        <w:t xml:space="preserve">. </w:t>
      </w:r>
      <w:r w:rsidR="007D37DF">
        <w:rPr>
          <w:rFonts w:hint="eastAsia"/>
        </w:rPr>
        <w:t>委員会は</w:t>
      </w:r>
      <w:r w:rsidR="002E1888">
        <w:rPr>
          <w:rFonts w:hint="eastAsia"/>
        </w:rPr>
        <w:t>締約国に</w:t>
      </w:r>
      <w:r w:rsidR="008765DE">
        <w:rPr>
          <w:rFonts w:hint="eastAsia"/>
        </w:rPr>
        <w:t>次のことを勧告する：</w:t>
      </w:r>
      <w:r>
        <w:rPr>
          <w:rFonts w:hint="eastAsia"/>
        </w:rPr>
        <w:t>障害を理由とした差別を法律において分野横断的事項として扱い、障害者に関するすべての法律</w:t>
      </w:r>
      <w:r w:rsidR="00FF4882">
        <w:rPr>
          <w:rFonts w:hint="eastAsia"/>
        </w:rPr>
        <w:t>に差別禁止の概念を</w:t>
      </w:r>
      <w:r w:rsidR="005E73BB">
        <w:rPr>
          <w:rFonts w:hint="eastAsia"/>
        </w:rPr>
        <w:t>組み込む；</w:t>
      </w:r>
      <w:r w:rsidR="002E1888">
        <w:rPr>
          <w:rFonts w:hint="eastAsia"/>
        </w:rPr>
        <w:t>合理的配慮を否定することは</w:t>
      </w:r>
      <w:r w:rsidR="005E73BB">
        <w:rPr>
          <w:rFonts w:hint="eastAsia"/>
        </w:rPr>
        <w:t>障害を理由とした</w:t>
      </w:r>
      <w:r w:rsidR="002E1888">
        <w:rPr>
          <w:rFonts w:hint="eastAsia"/>
        </w:rPr>
        <w:t>差別行為であると分類する法律を採択する；それらの</w:t>
      </w:r>
      <w:r w:rsidR="008765DE">
        <w:rPr>
          <w:rFonts w:hint="eastAsia"/>
        </w:rPr>
        <w:t>法律に</w:t>
      </w:r>
      <w:r w:rsidR="002E1888">
        <w:rPr>
          <w:rFonts w:hint="eastAsia"/>
        </w:rPr>
        <w:t>準拠してい</w:t>
      </w:r>
      <w:r w:rsidR="008765DE">
        <w:rPr>
          <w:rFonts w:hint="eastAsia"/>
        </w:rPr>
        <w:t>るか</w:t>
      </w:r>
      <w:r w:rsidR="002E1888">
        <w:rPr>
          <w:rFonts w:hint="eastAsia"/>
        </w:rPr>
        <w:t>、</w:t>
      </w:r>
      <w:r w:rsidR="005E73BB">
        <w:rPr>
          <w:rFonts w:hint="eastAsia"/>
        </w:rPr>
        <w:t>あらゆる</w:t>
      </w:r>
      <w:r w:rsidR="008765DE">
        <w:rPr>
          <w:rFonts w:hint="eastAsia"/>
        </w:rPr>
        <w:t>面を監視するための効果的な</w:t>
      </w:r>
      <w:r w:rsidR="00E52D52">
        <w:rPr>
          <w:rFonts w:hint="eastAsia"/>
        </w:rPr>
        <w:t>仕組み</w:t>
      </w:r>
      <w:r w:rsidR="008765DE">
        <w:rPr>
          <w:rFonts w:hint="eastAsia"/>
        </w:rPr>
        <w:t>を構築</w:t>
      </w:r>
      <w:r w:rsidR="008F283D">
        <w:rPr>
          <w:rFonts w:hint="eastAsia"/>
        </w:rPr>
        <w:t>し、それには障害者が障害を理由として受けた差別に対して補償及び</w:t>
      </w:r>
      <w:r w:rsidR="002E1888">
        <w:rPr>
          <w:rFonts w:hint="eastAsia"/>
        </w:rPr>
        <w:t>同等の賠償を求めることができるようにすることも</w:t>
      </w:r>
      <w:r w:rsidR="00D760FC">
        <w:rPr>
          <w:rFonts w:hint="eastAsia"/>
        </w:rPr>
        <w:t>含む；障害</w:t>
      </w:r>
      <w:r w:rsidR="002E1888">
        <w:rPr>
          <w:rFonts w:hint="eastAsia"/>
        </w:rPr>
        <w:t>を理由とした</w:t>
      </w:r>
      <w:r w:rsidR="00D760FC">
        <w:rPr>
          <w:rFonts w:hint="eastAsia"/>
        </w:rPr>
        <w:t>差別と、</w:t>
      </w:r>
      <w:r w:rsidR="002E1888">
        <w:rPr>
          <w:rFonts w:hint="eastAsia"/>
        </w:rPr>
        <w:t>障害者への合理的配慮</w:t>
      </w:r>
      <w:r w:rsidR="008F283D">
        <w:rPr>
          <w:rFonts w:hint="eastAsia"/>
        </w:rPr>
        <w:t>の規定に関する</w:t>
      </w:r>
      <w:r w:rsidR="00052ACB">
        <w:rPr>
          <w:rFonts w:hint="eastAsia"/>
        </w:rPr>
        <w:t>義務</w:t>
      </w:r>
      <w:r w:rsidR="002E1888">
        <w:rPr>
          <w:rFonts w:hint="eastAsia"/>
        </w:rPr>
        <w:t>と可能性について、</w:t>
      </w:r>
      <w:r w:rsidR="00E75671" w:rsidRPr="00E75671">
        <w:rPr>
          <w:rFonts w:hint="eastAsia"/>
        </w:rPr>
        <w:t>司法関係者</w:t>
      </w:r>
      <w:r w:rsidR="00D760FC">
        <w:rPr>
          <w:rFonts w:hint="eastAsia"/>
        </w:rPr>
        <w:t>、公務員、障害者</w:t>
      </w:r>
      <w:r w:rsidR="002E1888">
        <w:rPr>
          <w:rFonts w:hint="eastAsia"/>
        </w:rPr>
        <w:t>を</w:t>
      </w:r>
      <w:r w:rsidR="00D760FC">
        <w:rPr>
          <w:rFonts w:hint="eastAsia"/>
        </w:rPr>
        <w:t>代表</w:t>
      </w:r>
      <w:r w:rsidR="002E1888">
        <w:rPr>
          <w:rFonts w:hint="eastAsia"/>
        </w:rPr>
        <w:t>する団体</w:t>
      </w:r>
      <w:r w:rsidR="00D760FC">
        <w:rPr>
          <w:rFonts w:hint="eastAsia"/>
        </w:rPr>
        <w:t>を含む</w:t>
      </w:r>
      <w:r w:rsidR="002E1888">
        <w:rPr>
          <w:rFonts w:hint="eastAsia"/>
        </w:rPr>
        <w:t>、</w:t>
      </w:r>
      <w:r w:rsidR="00D760FC">
        <w:rPr>
          <w:rFonts w:hint="eastAsia"/>
        </w:rPr>
        <w:t>公共、民間の</w:t>
      </w:r>
      <w:r w:rsidR="000519F7">
        <w:rPr>
          <w:rFonts w:hint="eastAsia"/>
        </w:rPr>
        <w:t>関係者</w:t>
      </w:r>
      <w:r w:rsidR="00D760FC">
        <w:rPr>
          <w:rFonts w:hint="eastAsia"/>
        </w:rPr>
        <w:t>に必要なトレーニングを提供する。</w:t>
      </w:r>
    </w:p>
    <w:p w14:paraId="2B2C03BE" w14:textId="77777777" w:rsidR="00B762B8" w:rsidRPr="00E52D52" w:rsidRDefault="00B762B8" w:rsidP="004A005E">
      <w:pPr>
        <w:pStyle w:val="a3"/>
        <w:ind w:leftChars="0" w:left="440"/>
      </w:pPr>
    </w:p>
    <w:p w14:paraId="52984945" w14:textId="77777777" w:rsidR="00B762B8" w:rsidRDefault="006E0E12" w:rsidP="004A005E">
      <w:pPr>
        <w:pStyle w:val="a3"/>
        <w:ind w:leftChars="0" w:left="440"/>
      </w:pPr>
      <w:r>
        <w:rPr>
          <w:rFonts w:hint="eastAsia"/>
        </w:rPr>
        <w:t>障害のある女子</w:t>
      </w:r>
      <w:r w:rsidR="00B762B8">
        <w:rPr>
          <w:rFonts w:hint="eastAsia"/>
        </w:rPr>
        <w:t>（第</w:t>
      </w:r>
      <w:r w:rsidR="00B762B8">
        <w:rPr>
          <w:rFonts w:hint="eastAsia"/>
        </w:rPr>
        <w:t>6</w:t>
      </w:r>
      <w:r w:rsidR="00B762B8">
        <w:rPr>
          <w:rFonts w:hint="eastAsia"/>
        </w:rPr>
        <w:t>条）</w:t>
      </w:r>
    </w:p>
    <w:p w14:paraId="373FAD37" w14:textId="77777777" w:rsidR="00B762B8" w:rsidRDefault="000519F7" w:rsidP="004A005E">
      <w:pPr>
        <w:pStyle w:val="a3"/>
        <w:ind w:leftChars="0" w:left="440"/>
      </w:pPr>
      <w:r>
        <w:rPr>
          <w:rFonts w:hint="eastAsia"/>
        </w:rPr>
        <w:t>10</w:t>
      </w:r>
      <w:r w:rsidR="00B762B8">
        <w:t xml:space="preserve">. </w:t>
      </w:r>
      <w:r w:rsidR="00B762B8">
        <w:rPr>
          <w:rFonts w:hint="eastAsia"/>
        </w:rPr>
        <w:t>委員会は、</w:t>
      </w:r>
      <w:r>
        <w:rPr>
          <w:rFonts w:hint="eastAsia"/>
        </w:rPr>
        <w:t>モンゴルにおける障害</w:t>
      </w:r>
      <w:r w:rsidR="008F283D">
        <w:rPr>
          <w:rFonts w:hint="eastAsia"/>
        </w:rPr>
        <w:t>女児</w:t>
      </w:r>
      <w:r>
        <w:rPr>
          <w:rFonts w:hint="eastAsia"/>
        </w:rPr>
        <w:t>や女性の</w:t>
      </w:r>
      <w:r w:rsidR="00052ACB">
        <w:rPr>
          <w:rFonts w:hint="eastAsia"/>
        </w:rPr>
        <w:t>、</w:t>
      </w:r>
      <w:r>
        <w:rPr>
          <w:rFonts w:hint="eastAsia"/>
        </w:rPr>
        <w:t>社会的、経済</w:t>
      </w:r>
      <w:r w:rsidR="00052ACB">
        <w:rPr>
          <w:rFonts w:hint="eastAsia"/>
        </w:rPr>
        <w:t>的、政治的状況、及び彼女達が対象となる性的虐待を含む暴力事件、一般的に自分たちに影響</w:t>
      </w:r>
      <w:r>
        <w:rPr>
          <w:rFonts w:hint="eastAsia"/>
        </w:rPr>
        <w:t>する事への意思決</w:t>
      </w:r>
      <w:r w:rsidR="008F283D">
        <w:rPr>
          <w:rFonts w:hint="eastAsia"/>
        </w:rPr>
        <w:t>定に障害女</w:t>
      </w:r>
      <w:r w:rsidR="00052ACB">
        <w:rPr>
          <w:rFonts w:hint="eastAsia"/>
        </w:rPr>
        <w:t>性の参加が制限されていることについての情報が全体</w:t>
      </w:r>
      <w:r>
        <w:rPr>
          <w:rFonts w:hint="eastAsia"/>
        </w:rPr>
        <w:t>的に不足していることを懸念する。</w:t>
      </w:r>
    </w:p>
    <w:p w14:paraId="20E4E5F5" w14:textId="77777777" w:rsidR="00B762B8" w:rsidRDefault="000519F7" w:rsidP="004A005E">
      <w:pPr>
        <w:pStyle w:val="a3"/>
        <w:ind w:leftChars="0" w:left="440"/>
      </w:pPr>
      <w:r>
        <w:rPr>
          <w:rFonts w:hint="eastAsia"/>
        </w:rPr>
        <w:t>11</w:t>
      </w:r>
      <w:r w:rsidR="00B762B8">
        <w:t xml:space="preserve">. </w:t>
      </w:r>
      <w:r>
        <w:t>委員会</w:t>
      </w:r>
      <w:r w:rsidR="008F283D">
        <w:t>は締約国に対して、法の改正と政策の変更の視点から、特に障害</w:t>
      </w:r>
      <w:r>
        <w:t>女性と</w:t>
      </w:r>
      <w:r w:rsidR="008F283D">
        <w:rPr>
          <w:rFonts w:hint="eastAsia"/>
        </w:rPr>
        <w:t>女児</w:t>
      </w:r>
      <w:r>
        <w:t>の家族生活、教育、保健サービスと雇用、家庭内及び</w:t>
      </w:r>
      <w:r>
        <w:rPr>
          <w:rFonts w:hint="eastAsia"/>
        </w:rPr>
        <w:t>/</w:t>
      </w:r>
      <w:r>
        <w:rPr>
          <w:rFonts w:hint="eastAsia"/>
        </w:rPr>
        <w:t>もしくは性的暴行との戦いに特に注意して、彼女達と協議することを強く促す</w:t>
      </w:r>
      <w:r w:rsidR="00926971">
        <w:rPr>
          <w:rFonts w:hint="eastAsia"/>
        </w:rPr>
        <w:t>。</w:t>
      </w:r>
      <w:r w:rsidR="0017079C">
        <w:rPr>
          <w:rFonts w:hint="eastAsia"/>
        </w:rPr>
        <w:t>委員会は、締約国のジェンダー政策に障害</w:t>
      </w:r>
      <w:r w:rsidR="008F283D">
        <w:rPr>
          <w:rFonts w:hint="eastAsia"/>
        </w:rPr>
        <w:t>児</w:t>
      </w:r>
      <w:r w:rsidR="0017079C">
        <w:rPr>
          <w:rFonts w:hint="eastAsia"/>
        </w:rPr>
        <w:t>を含めるこ</w:t>
      </w:r>
      <w:r w:rsidR="00052ACB">
        <w:rPr>
          <w:rFonts w:hint="eastAsia"/>
        </w:rPr>
        <w:t>とも</w:t>
      </w:r>
      <w:r w:rsidR="0017079C">
        <w:rPr>
          <w:rFonts w:hint="eastAsia"/>
        </w:rPr>
        <w:t>勧告する。</w:t>
      </w:r>
    </w:p>
    <w:p w14:paraId="0856ACB8" w14:textId="77777777" w:rsidR="00926971" w:rsidRPr="008F283D" w:rsidRDefault="00926971" w:rsidP="004A005E">
      <w:pPr>
        <w:pStyle w:val="a3"/>
        <w:ind w:leftChars="0" w:left="440"/>
      </w:pPr>
    </w:p>
    <w:p w14:paraId="002CB19D" w14:textId="77777777" w:rsidR="00926971" w:rsidRDefault="006E0E12" w:rsidP="004A005E">
      <w:pPr>
        <w:pStyle w:val="a3"/>
        <w:ind w:leftChars="0" w:left="440"/>
      </w:pPr>
      <w:r>
        <w:rPr>
          <w:rFonts w:hint="eastAsia"/>
        </w:rPr>
        <w:lastRenderedPageBreak/>
        <w:t>障害のある児童</w:t>
      </w:r>
      <w:r w:rsidR="00926971">
        <w:rPr>
          <w:rFonts w:hint="eastAsia"/>
        </w:rPr>
        <w:t>（第</w:t>
      </w:r>
      <w:r w:rsidR="00926971">
        <w:rPr>
          <w:rFonts w:hint="eastAsia"/>
        </w:rPr>
        <w:t>7</w:t>
      </w:r>
      <w:r w:rsidR="00926971">
        <w:rPr>
          <w:rFonts w:hint="eastAsia"/>
        </w:rPr>
        <w:t>条）</w:t>
      </w:r>
    </w:p>
    <w:p w14:paraId="4DA6924D" w14:textId="77777777" w:rsidR="00926971" w:rsidRDefault="001A6169" w:rsidP="004A005E">
      <w:pPr>
        <w:pStyle w:val="a3"/>
        <w:ind w:leftChars="0" w:left="440"/>
      </w:pPr>
      <w:r>
        <w:rPr>
          <w:rFonts w:hint="eastAsia"/>
        </w:rPr>
        <w:t>12</w:t>
      </w:r>
      <w:r w:rsidR="00926971">
        <w:t xml:space="preserve">. </w:t>
      </w:r>
      <w:r w:rsidR="006E0E12">
        <w:t>委員会は、</w:t>
      </w:r>
      <w:r w:rsidR="006E0E12">
        <w:rPr>
          <w:rFonts w:hint="eastAsia"/>
        </w:rPr>
        <w:t>障害児</w:t>
      </w:r>
      <w:r w:rsidR="0017079C">
        <w:t>とその家族、特に</w:t>
      </w:r>
      <w:r w:rsidR="006E0E12">
        <w:t>障害</w:t>
      </w:r>
      <w:r w:rsidR="008F283D">
        <w:rPr>
          <w:rFonts w:hint="eastAsia"/>
        </w:rPr>
        <w:t>女児</w:t>
      </w:r>
      <w:r w:rsidR="006E0E12">
        <w:t>と遊牧民の</w:t>
      </w:r>
      <w:r w:rsidR="006E0E12">
        <w:rPr>
          <w:rFonts w:hint="eastAsia"/>
        </w:rPr>
        <w:t>児童</w:t>
      </w:r>
      <w:r w:rsidR="006E0E12">
        <w:t>に保護を提供するための</w:t>
      </w:r>
      <w:r w:rsidR="006E0E12">
        <w:rPr>
          <w:rFonts w:hint="eastAsia"/>
        </w:rPr>
        <w:t>具体的な措置</w:t>
      </w:r>
      <w:r w:rsidR="006E0E12">
        <w:t>が不足していること、また、障害</w:t>
      </w:r>
      <w:r w:rsidR="006E0E12">
        <w:rPr>
          <w:rFonts w:hint="eastAsia"/>
        </w:rPr>
        <w:t>児に</w:t>
      </w:r>
      <w:r w:rsidR="0017079C">
        <w:t>、特に農村部において、提供される教育が不足していることを懸念する。</w:t>
      </w:r>
      <w:r w:rsidR="006E0E12">
        <w:t>委員会はまた、障害</w:t>
      </w:r>
      <w:r w:rsidR="006E0E12">
        <w:rPr>
          <w:rFonts w:hint="eastAsia"/>
        </w:rPr>
        <w:t>男児</w:t>
      </w:r>
      <w:r w:rsidR="006E0E12">
        <w:t>や</w:t>
      </w:r>
      <w:r w:rsidR="006E0E12">
        <w:rPr>
          <w:rFonts w:hint="eastAsia"/>
        </w:rPr>
        <w:t>女児</w:t>
      </w:r>
      <w:r w:rsidR="006E0E12">
        <w:t>が、自分達に影響することの</w:t>
      </w:r>
      <w:r w:rsidR="006E0E12">
        <w:rPr>
          <w:rFonts w:hint="eastAsia"/>
        </w:rPr>
        <w:t>意思</w:t>
      </w:r>
      <w:r w:rsidR="0017079C">
        <w:t>決定に体系的に含まれていないこと、そして彼らに直接影響することについて自分達の意見を表現する可能性がないこと</w:t>
      </w:r>
      <w:r w:rsidR="005913FA">
        <w:rPr>
          <w:rFonts w:hint="eastAsia"/>
        </w:rPr>
        <w:t>を</w:t>
      </w:r>
      <w:r w:rsidR="0017079C">
        <w:t>懸念する。</w:t>
      </w:r>
    </w:p>
    <w:p w14:paraId="0A476BA5" w14:textId="2F59E9DA" w:rsidR="008A573A" w:rsidRDefault="0017079C" w:rsidP="006E0E12">
      <w:pPr>
        <w:pStyle w:val="a3"/>
        <w:ind w:leftChars="0" w:left="440"/>
      </w:pPr>
      <w:r>
        <w:rPr>
          <w:rFonts w:hint="eastAsia"/>
        </w:rPr>
        <w:t>13</w:t>
      </w:r>
      <w:r w:rsidR="00FA36D0">
        <w:t xml:space="preserve">. </w:t>
      </w:r>
      <w:r w:rsidR="00FA36D0">
        <w:rPr>
          <w:rFonts w:hint="eastAsia"/>
        </w:rPr>
        <w:t>委員会は</w:t>
      </w:r>
      <w:r>
        <w:rPr>
          <w:rFonts w:hint="eastAsia"/>
        </w:rPr>
        <w:t>、締約国が</w:t>
      </w:r>
      <w:r w:rsidR="008A573A">
        <w:rPr>
          <w:rFonts w:hint="eastAsia"/>
        </w:rPr>
        <w:t>早期介入、初等教育における障害</w:t>
      </w:r>
      <w:r w:rsidR="007763DF">
        <w:rPr>
          <w:rFonts w:hint="eastAsia"/>
        </w:rPr>
        <w:t>男児</w:t>
      </w:r>
      <w:r w:rsidR="008A573A">
        <w:rPr>
          <w:rFonts w:hint="eastAsia"/>
        </w:rPr>
        <w:t>と</w:t>
      </w:r>
      <w:r w:rsidR="007763DF">
        <w:rPr>
          <w:rFonts w:hint="eastAsia"/>
        </w:rPr>
        <w:t>女児</w:t>
      </w:r>
      <w:r w:rsidR="008A573A">
        <w:rPr>
          <w:rFonts w:hint="eastAsia"/>
        </w:rPr>
        <w:t>の入学を全体的に増やすこと、インクルーシブな</w:t>
      </w:r>
      <w:r w:rsidR="005913FA">
        <w:rPr>
          <w:rFonts w:hint="eastAsia"/>
        </w:rPr>
        <w:t>早期児童教育</w:t>
      </w:r>
      <w:r w:rsidR="007763DF">
        <w:rPr>
          <w:rFonts w:hint="eastAsia"/>
        </w:rPr>
        <w:t>及び障害のある青年</w:t>
      </w:r>
      <w:r w:rsidR="006E0E12">
        <w:rPr>
          <w:rFonts w:hint="eastAsia"/>
        </w:rPr>
        <w:t>への職業訓練の機会</w:t>
      </w:r>
      <w:r w:rsidR="005913FA">
        <w:rPr>
          <w:rFonts w:hint="eastAsia"/>
        </w:rPr>
        <w:t>の実施</w:t>
      </w:r>
      <w:r w:rsidR="006E0E12">
        <w:rPr>
          <w:rFonts w:hint="eastAsia"/>
        </w:rPr>
        <w:t>、そして障害</w:t>
      </w:r>
      <w:r w:rsidR="007763DF">
        <w:rPr>
          <w:rFonts w:hint="eastAsia"/>
        </w:rPr>
        <w:t>児</w:t>
      </w:r>
      <w:r w:rsidR="008A573A">
        <w:rPr>
          <w:rFonts w:hint="eastAsia"/>
        </w:rPr>
        <w:t>への暴力、虐待、遺棄の予防を保証するための</w:t>
      </w:r>
      <w:r w:rsidR="005913FA">
        <w:rPr>
          <w:rFonts w:hint="eastAsia"/>
        </w:rPr>
        <w:t>手段</w:t>
      </w:r>
      <w:r w:rsidR="008A573A">
        <w:rPr>
          <w:rFonts w:hint="eastAsia"/>
        </w:rPr>
        <w:t>を、障害者団体との協議を含めてとることを勧告する。その際、締約国は障害</w:t>
      </w:r>
      <w:r w:rsidR="007763DF">
        <w:rPr>
          <w:rFonts w:hint="eastAsia"/>
        </w:rPr>
        <w:t>女児、及び農村地域や遊牧民コミュニティの障害児</w:t>
      </w:r>
      <w:r w:rsidR="008A573A">
        <w:rPr>
          <w:rFonts w:hint="eastAsia"/>
        </w:rPr>
        <w:t>に特に注意を払う</w:t>
      </w:r>
      <w:r w:rsidR="007763DF">
        <w:rPr>
          <w:rFonts w:hint="eastAsia"/>
        </w:rPr>
        <w:t>べきである。委員会は締約国に、障害男児及び女児</w:t>
      </w:r>
      <w:r w:rsidR="008A573A">
        <w:rPr>
          <w:rFonts w:hint="eastAsia"/>
        </w:rPr>
        <w:t>の権利を保護し、彼らに関連するすべてのこ</w:t>
      </w:r>
      <w:r w:rsidR="00FB133A">
        <w:rPr>
          <w:rFonts w:hint="eastAsia"/>
        </w:rPr>
        <w:t>とに関して協議され、それぞれの障害と年齢によって適切な支援が確保</w:t>
      </w:r>
      <w:r w:rsidR="008A573A">
        <w:rPr>
          <w:rFonts w:hint="eastAsia"/>
        </w:rPr>
        <w:t>されるよう</w:t>
      </w:r>
      <w:r w:rsidR="00E75671">
        <w:rPr>
          <w:rFonts w:hint="eastAsia"/>
        </w:rPr>
        <w:t>な</w:t>
      </w:r>
      <w:r w:rsidR="00FB133A">
        <w:rPr>
          <w:rFonts w:hint="eastAsia"/>
        </w:rPr>
        <w:t>保障</w:t>
      </w:r>
      <w:r w:rsidR="00E75671">
        <w:rPr>
          <w:rFonts w:hint="eastAsia"/>
        </w:rPr>
        <w:t>（セーフガード）</w:t>
      </w:r>
      <w:r w:rsidR="007763DF">
        <w:rPr>
          <w:rFonts w:hint="eastAsia"/>
        </w:rPr>
        <w:t>を採用することを要請する。これらすべての措置</w:t>
      </w:r>
      <w:r w:rsidR="008A573A">
        <w:rPr>
          <w:rFonts w:hint="eastAsia"/>
        </w:rPr>
        <w:t>は</w:t>
      </w:r>
      <w:r w:rsidR="00CD541E">
        <w:rPr>
          <w:rFonts w:hint="eastAsia"/>
        </w:rPr>
        <w:t>、締約国の第</w:t>
      </w:r>
      <w:r w:rsidR="00CD541E">
        <w:rPr>
          <w:rFonts w:hint="eastAsia"/>
        </w:rPr>
        <w:t>3</w:t>
      </w:r>
      <w:r w:rsidR="00CD541E">
        <w:rPr>
          <w:rFonts w:hint="eastAsia"/>
        </w:rPr>
        <w:t>回と</w:t>
      </w:r>
      <w:r w:rsidR="00CD541E">
        <w:rPr>
          <w:rFonts w:hint="eastAsia"/>
        </w:rPr>
        <w:t>4</w:t>
      </w:r>
      <w:r w:rsidR="00CD541E">
        <w:rPr>
          <w:rFonts w:hint="eastAsia"/>
        </w:rPr>
        <w:t>回の合同定期報告への委員会の総括所見（</w:t>
      </w:r>
      <w:r w:rsidR="00CD541E">
        <w:rPr>
          <w:rFonts w:hint="eastAsia"/>
        </w:rPr>
        <w:t>CRC/C/MNG/C/3-4</w:t>
      </w:r>
      <w:r w:rsidR="007763DF">
        <w:rPr>
          <w:rFonts w:hint="eastAsia"/>
        </w:rPr>
        <w:t>）と一致</w:t>
      </w:r>
      <w:r w:rsidR="00CD541E">
        <w:rPr>
          <w:rFonts w:hint="eastAsia"/>
        </w:rPr>
        <w:t>すべきである。</w:t>
      </w:r>
    </w:p>
    <w:p w14:paraId="70F9485E" w14:textId="77777777" w:rsidR="008A573A" w:rsidRPr="007763DF" w:rsidRDefault="008A573A" w:rsidP="004A005E">
      <w:pPr>
        <w:pStyle w:val="a3"/>
        <w:ind w:leftChars="0" w:left="440"/>
      </w:pPr>
    </w:p>
    <w:p w14:paraId="265A3D87" w14:textId="77777777" w:rsidR="00E13399" w:rsidRPr="00E13399" w:rsidRDefault="00E13399" w:rsidP="00E13399">
      <w:pPr>
        <w:ind w:left="440"/>
        <w:rPr>
          <w:rFonts w:ascii="Century" w:eastAsia="ＭＳ 明朝" w:hAnsi="Century" w:cs="Times New Roman"/>
        </w:rPr>
      </w:pPr>
      <w:r w:rsidRPr="00E13399">
        <w:rPr>
          <w:rFonts w:ascii="Century" w:eastAsia="ＭＳ 明朝" w:hAnsi="Century" w:cs="Times New Roman" w:hint="eastAsia"/>
        </w:rPr>
        <w:t>意識</w:t>
      </w:r>
      <w:r w:rsidR="007763DF">
        <w:rPr>
          <w:rFonts w:ascii="Century" w:eastAsia="ＭＳ 明朝" w:hAnsi="Century" w:cs="Times New Roman" w:hint="eastAsia"/>
        </w:rPr>
        <w:t>の</w:t>
      </w:r>
      <w:r w:rsidRPr="00E13399">
        <w:rPr>
          <w:rFonts w:ascii="Century" w:eastAsia="ＭＳ 明朝" w:hAnsi="Century" w:cs="Times New Roman" w:hint="eastAsia"/>
        </w:rPr>
        <w:t>向上（第</w:t>
      </w:r>
      <w:r w:rsidRPr="00E13399">
        <w:rPr>
          <w:rFonts w:ascii="Century" w:eastAsia="ＭＳ 明朝" w:hAnsi="Century" w:cs="Times New Roman" w:hint="eastAsia"/>
        </w:rPr>
        <w:t>8</w:t>
      </w:r>
      <w:r w:rsidRPr="00E13399">
        <w:rPr>
          <w:rFonts w:ascii="Century" w:eastAsia="ＭＳ 明朝" w:hAnsi="Century" w:cs="Times New Roman" w:hint="eastAsia"/>
        </w:rPr>
        <w:t>条）</w:t>
      </w:r>
    </w:p>
    <w:p w14:paraId="6EF735CA" w14:textId="77777777" w:rsidR="00E13399" w:rsidRPr="00E13399" w:rsidRDefault="00E13399" w:rsidP="00E13399">
      <w:pPr>
        <w:ind w:left="440"/>
        <w:rPr>
          <w:rFonts w:ascii="Century" w:eastAsia="ＭＳ 明朝" w:hAnsi="Century" w:cs="Times New Roman"/>
        </w:rPr>
      </w:pPr>
      <w:r w:rsidRPr="00E13399">
        <w:rPr>
          <w:rFonts w:ascii="Century" w:eastAsia="ＭＳ 明朝" w:hAnsi="Century" w:cs="Times New Roman" w:hint="eastAsia"/>
        </w:rPr>
        <w:t xml:space="preserve">14. </w:t>
      </w:r>
      <w:r w:rsidRPr="00E13399">
        <w:rPr>
          <w:rFonts w:ascii="Century" w:eastAsia="ＭＳ 明朝" w:hAnsi="Century" w:cs="Times New Roman" w:hint="eastAsia"/>
        </w:rPr>
        <w:t>委員会は、締約国における障害者に対する否定的な態度を懸念する。日常の言葉にはっきり表されているように、メディアや</w:t>
      </w:r>
      <w:r w:rsidR="00980681">
        <w:rPr>
          <w:rFonts w:ascii="Century" w:eastAsia="ＭＳ 明朝" w:hAnsi="Century" w:cs="Times New Roman" w:hint="eastAsia"/>
        </w:rPr>
        <w:t>「障害予防デー」のようなイベントは、条約の原則と反対の概念</w:t>
      </w:r>
      <w:r w:rsidRPr="00E13399">
        <w:rPr>
          <w:rFonts w:ascii="Century" w:eastAsia="ＭＳ 明朝" w:hAnsi="Century" w:cs="Times New Roman" w:hint="eastAsia"/>
        </w:rPr>
        <w:t>を表している。委員会は、障害者の権利に関する問題への意識向上の手段が不充分であり、一般の人々や</w:t>
      </w:r>
      <w:r w:rsidR="00AC0464">
        <w:rPr>
          <w:rFonts w:ascii="Century" w:eastAsia="ＭＳ 明朝" w:hAnsi="Century" w:cs="Times New Roman" w:hint="eastAsia"/>
        </w:rPr>
        <w:t>関連する専門家はもちろんのこと、障害者や彼らの家族でさえ</w:t>
      </w:r>
      <w:r w:rsidR="005913FA">
        <w:rPr>
          <w:rFonts w:ascii="Century" w:eastAsia="ＭＳ 明朝" w:hAnsi="Century" w:cs="Times New Roman" w:hint="eastAsia"/>
        </w:rPr>
        <w:t>権利に関する</w:t>
      </w:r>
      <w:r w:rsidRPr="00E13399">
        <w:rPr>
          <w:rFonts w:ascii="Century" w:eastAsia="ＭＳ 明朝" w:hAnsi="Century" w:cs="Times New Roman" w:hint="eastAsia"/>
        </w:rPr>
        <w:t>問題にさらされていないことを留意する。さらに</w:t>
      </w:r>
      <w:r w:rsidR="00980681">
        <w:rPr>
          <w:rFonts w:ascii="Century" w:eastAsia="ＭＳ 明朝" w:hAnsi="Century" w:cs="Times New Roman" w:hint="eastAsia"/>
        </w:rPr>
        <w:t>委員会は</w:t>
      </w:r>
      <w:r w:rsidR="00AC0464">
        <w:rPr>
          <w:rFonts w:ascii="Century" w:eastAsia="ＭＳ 明朝" w:hAnsi="Century" w:cs="Times New Roman" w:hint="eastAsia"/>
        </w:rPr>
        <w:t>、障害問題が</w:t>
      </w:r>
      <w:r w:rsidRPr="00E13399">
        <w:rPr>
          <w:rFonts w:ascii="Century" w:eastAsia="ＭＳ 明朝" w:hAnsi="Century" w:cs="Times New Roman" w:hint="eastAsia"/>
        </w:rPr>
        <w:t>一般的に身体障害に限られており、知的や精神障害への注意が不十分であること</w:t>
      </w:r>
      <w:r w:rsidR="00980681">
        <w:rPr>
          <w:rFonts w:ascii="Century" w:eastAsia="ＭＳ 明朝" w:hAnsi="Century" w:cs="Times New Roman" w:hint="eastAsia"/>
        </w:rPr>
        <w:t>も</w:t>
      </w:r>
      <w:r w:rsidRPr="00E13399">
        <w:rPr>
          <w:rFonts w:ascii="Century" w:eastAsia="ＭＳ 明朝" w:hAnsi="Century" w:cs="Times New Roman" w:hint="eastAsia"/>
        </w:rPr>
        <w:t>懸念する。</w:t>
      </w:r>
    </w:p>
    <w:p w14:paraId="1CD766BE" w14:textId="0AF4ECEC" w:rsidR="00E13399" w:rsidRPr="00E13399" w:rsidRDefault="00E13399" w:rsidP="00E13399">
      <w:pPr>
        <w:ind w:left="440"/>
        <w:rPr>
          <w:rFonts w:ascii="Century" w:eastAsia="ＭＳ 明朝" w:hAnsi="Century" w:cs="Times New Roman"/>
        </w:rPr>
      </w:pPr>
      <w:r w:rsidRPr="00E13399">
        <w:rPr>
          <w:rFonts w:ascii="Century" w:eastAsia="ＭＳ 明朝" w:hAnsi="Century" w:cs="Times New Roman" w:hint="eastAsia"/>
        </w:rPr>
        <w:t xml:space="preserve">15. </w:t>
      </w:r>
      <w:r w:rsidRPr="00E13399">
        <w:rPr>
          <w:rFonts w:ascii="Century" w:eastAsia="ＭＳ 明朝" w:hAnsi="Century" w:cs="Times New Roman" w:hint="eastAsia"/>
        </w:rPr>
        <w:t>委員会は、締約国が障</w:t>
      </w:r>
      <w:r w:rsidR="00980681">
        <w:rPr>
          <w:rFonts w:ascii="Century" w:eastAsia="ＭＳ 明朝" w:hAnsi="Century" w:cs="Times New Roman" w:hint="eastAsia"/>
        </w:rPr>
        <w:t>害者を自律した人権の持ち主であるという肯定的</w:t>
      </w:r>
      <w:r w:rsidRPr="00E13399">
        <w:rPr>
          <w:rFonts w:ascii="Century" w:eastAsia="ＭＳ 明朝" w:hAnsi="Century" w:cs="Times New Roman" w:hint="eastAsia"/>
        </w:rPr>
        <w:t>なイメージを促進することを目的とした、意識向上キャンペーンを強化することを勧告する。そうするにあたり、そのようなキャンペーンにおいて締約国は条約の横断的</w:t>
      </w:r>
      <w:r w:rsidR="00E75671">
        <w:rPr>
          <w:rFonts w:ascii="Century" w:eastAsia="ＭＳ 明朝" w:hAnsi="Century" w:cs="Times New Roman" w:hint="eastAsia"/>
        </w:rPr>
        <w:t>な性質</w:t>
      </w:r>
      <w:r w:rsidRPr="00E13399">
        <w:rPr>
          <w:rFonts w:ascii="Century" w:eastAsia="ＭＳ 明朝" w:hAnsi="Century" w:cs="Times New Roman" w:hint="eastAsia"/>
        </w:rPr>
        <w:t>、特に第</w:t>
      </w:r>
      <w:r w:rsidRPr="00E13399">
        <w:rPr>
          <w:rFonts w:ascii="Century" w:eastAsia="ＭＳ 明朝" w:hAnsi="Century" w:cs="Times New Roman" w:hint="eastAsia"/>
        </w:rPr>
        <w:t>5</w:t>
      </w:r>
      <w:r w:rsidRPr="00E13399">
        <w:rPr>
          <w:rFonts w:ascii="Century" w:eastAsia="ＭＳ 明朝" w:hAnsi="Century" w:cs="Times New Roman" w:hint="eastAsia"/>
        </w:rPr>
        <w:t>条、</w:t>
      </w:r>
      <w:r w:rsidRPr="00E13399">
        <w:rPr>
          <w:rFonts w:ascii="Century" w:eastAsia="ＭＳ 明朝" w:hAnsi="Century" w:cs="Times New Roman" w:hint="eastAsia"/>
        </w:rPr>
        <w:t>12</w:t>
      </w:r>
      <w:r w:rsidRPr="00E13399">
        <w:rPr>
          <w:rFonts w:ascii="Century" w:eastAsia="ＭＳ 明朝" w:hAnsi="Century" w:cs="Times New Roman" w:hint="eastAsia"/>
        </w:rPr>
        <w:t>条、</w:t>
      </w:r>
      <w:r w:rsidRPr="00E13399">
        <w:rPr>
          <w:rFonts w:ascii="Century" w:eastAsia="ＭＳ 明朝" w:hAnsi="Century" w:cs="Times New Roman" w:hint="eastAsia"/>
        </w:rPr>
        <w:t>13</w:t>
      </w:r>
      <w:r w:rsidRPr="00E13399">
        <w:rPr>
          <w:rFonts w:ascii="Century" w:eastAsia="ＭＳ 明朝" w:hAnsi="Century" w:cs="Times New Roman" w:hint="eastAsia"/>
        </w:rPr>
        <w:t>条、</w:t>
      </w:r>
      <w:r w:rsidRPr="00E13399">
        <w:rPr>
          <w:rFonts w:ascii="Century" w:eastAsia="ＭＳ 明朝" w:hAnsi="Century" w:cs="Times New Roman" w:hint="eastAsia"/>
        </w:rPr>
        <w:t>27</w:t>
      </w:r>
      <w:r w:rsidRPr="00E13399">
        <w:rPr>
          <w:rFonts w:ascii="Century" w:eastAsia="ＭＳ 明朝" w:hAnsi="Century" w:cs="Times New Roman" w:hint="eastAsia"/>
        </w:rPr>
        <w:t>条を認識し、障害の多様性について更なる意識を高め、</w:t>
      </w:r>
      <w:r w:rsidR="00980681">
        <w:rPr>
          <w:rFonts w:ascii="Century" w:eastAsia="ＭＳ 明朝" w:hAnsi="Century" w:cs="Times New Roman" w:hint="eastAsia"/>
        </w:rPr>
        <w:t>肯定的な含意を強化するための重要な戦略として障害の人権モデルを採用</w:t>
      </w:r>
      <w:r w:rsidRPr="00E13399">
        <w:rPr>
          <w:rFonts w:ascii="Century" w:eastAsia="ＭＳ 明朝" w:hAnsi="Century" w:cs="Times New Roman" w:hint="eastAsia"/>
        </w:rPr>
        <w:t>するべきである。委員会は、締約国が国際障害者デーを促進するためにもっと努力するよう勧告する。</w:t>
      </w:r>
    </w:p>
    <w:p w14:paraId="0E8D5148" w14:textId="77777777" w:rsidR="00E13399" w:rsidRPr="00E13399" w:rsidRDefault="00E13399" w:rsidP="00E13399">
      <w:pPr>
        <w:ind w:left="440"/>
        <w:rPr>
          <w:rFonts w:ascii="Century" w:eastAsia="ＭＳ 明朝" w:hAnsi="Century" w:cs="Times New Roman"/>
        </w:rPr>
      </w:pPr>
    </w:p>
    <w:p w14:paraId="5E73EADB" w14:textId="77777777" w:rsidR="00E13399" w:rsidRPr="00980681" w:rsidRDefault="00980681" w:rsidP="00980681">
      <w:pPr>
        <w:pStyle w:val="a3"/>
        <w:ind w:leftChars="0" w:left="440"/>
      </w:pPr>
      <w:r>
        <w:rPr>
          <w:rFonts w:hint="eastAsia"/>
        </w:rPr>
        <w:t>施設及びサービス等の利用の容易さ（アクセシビリティ）（第</w:t>
      </w:r>
      <w:r>
        <w:rPr>
          <w:rFonts w:hint="eastAsia"/>
        </w:rPr>
        <w:t>9</w:t>
      </w:r>
      <w:r>
        <w:rPr>
          <w:rFonts w:hint="eastAsia"/>
        </w:rPr>
        <w:t>条）</w:t>
      </w:r>
    </w:p>
    <w:p w14:paraId="2005BA23" w14:textId="77777777" w:rsidR="00E13399" w:rsidRPr="00E13399" w:rsidRDefault="00E13399" w:rsidP="00E13399">
      <w:pPr>
        <w:ind w:left="440"/>
        <w:rPr>
          <w:rFonts w:ascii="Century" w:eastAsia="ＭＳ 明朝" w:hAnsi="Century" w:cs="Times New Roman"/>
        </w:rPr>
      </w:pPr>
      <w:r w:rsidRPr="00E13399">
        <w:rPr>
          <w:rFonts w:ascii="Century" w:eastAsia="ＭＳ 明朝" w:hAnsi="Century" w:cs="Times New Roman"/>
        </w:rPr>
        <w:t xml:space="preserve">16. </w:t>
      </w:r>
      <w:r w:rsidR="00980681">
        <w:rPr>
          <w:rFonts w:ascii="Century" w:eastAsia="ＭＳ 明朝" w:hAnsi="Century" w:cs="Times New Roman" w:hint="eastAsia"/>
        </w:rPr>
        <w:t>委員会は、締約国のアクセシビリティに関する対策</w:t>
      </w:r>
      <w:r w:rsidRPr="00E13399">
        <w:rPr>
          <w:rFonts w:ascii="Century" w:eastAsia="ＭＳ 明朝" w:hAnsi="Century" w:cs="Times New Roman" w:hint="eastAsia"/>
        </w:rPr>
        <w:t>が物理的な面に</w:t>
      </w:r>
      <w:r w:rsidR="00980681">
        <w:rPr>
          <w:rFonts w:ascii="Century" w:eastAsia="ＭＳ 明朝" w:hAnsi="Century" w:cs="Times New Roman" w:hint="eastAsia"/>
        </w:rPr>
        <w:t>限定されがちであり、ある種の</w:t>
      </w:r>
      <w:r w:rsidRPr="00E13399">
        <w:rPr>
          <w:rFonts w:ascii="Century" w:eastAsia="ＭＳ 明朝" w:hAnsi="Century" w:cs="Times New Roman" w:hint="eastAsia"/>
        </w:rPr>
        <w:t>情報通信技術によって</w:t>
      </w:r>
      <w:r w:rsidR="00980681">
        <w:rPr>
          <w:rFonts w:ascii="Century" w:eastAsia="ＭＳ 明朝" w:hAnsi="Century" w:cs="Times New Roman" w:hint="eastAsia"/>
        </w:rPr>
        <w:t>ひきおこされる、その</w:t>
      </w:r>
      <w:r w:rsidRPr="00E13399">
        <w:rPr>
          <w:rFonts w:ascii="Century" w:eastAsia="ＭＳ 明朝" w:hAnsi="Century" w:cs="Times New Roman" w:hint="eastAsia"/>
        </w:rPr>
        <w:t>他の障壁を見落としていることを懸念する。特に委員会は、点字と手話が締約国において法的に認識されておらず、現在</w:t>
      </w:r>
      <w:r w:rsidRPr="00E13399">
        <w:rPr>
          <w:rFonts w:ascii="Century" w:eastAsia="ＭＳ 明朝" w:hAnsi="Century" w:cs="Times New Roman" w:hint="eastAsia"/>
        </w:rPr>
        <w:t>1</w:t>
      </w:r>
      <w:r w:rsidRPr="00E13399">
        <w:rPr>
          <w:rFonts w:ascii="Century" w:eastAsia="ＭＳ 明朝" w:hAnsi="Century" w:cs="Times New Roman" w:hint="eastAsia"/>
        </w:rPr>
        <w:t>つのテレビチャンネル</w:t>
      </w:r>
      <w:r w:rsidR="00AC0464">
        <w:rPr>
          <w:rFonts w:ascii="Century" w:eastAsia="ＭＳ 明朝" w:hAnsi="Century" w:cs="Times New Roman" w:hint="eastAsia"/>
        </w:rPr>
        <w:t>で</w:t>
      </w:r>
      <w:r w:rsidRPr="00E13399">
        <w:rPr>
          <w:rFonts w:ascii="Century" w:eastAsia="ＭＳ 明朝" w:hAnsi="Century" w:cs="Times New Roman" w:hint="eastAsia"/>
        </w:rPr>
        <w:t>非常に</w:t>
      </w:r>
      <w:r w:rsidR="00980681">
        <w:rPr>
          <w:rFonts w:ascii="Century" w:eastAsia="ＭＳ 明朝" w:hAnsi="Century" w:cs="Times New Roman" w:hint="eastAsia"/>
        </w:rPr>
        <w:t>限定的にアクセシブルなコンテンツが放送されてい</w:t>
      </w:r>
      <w:r w:rsidR="00AC0464">
        <w:rPr>
          <w:rFonts w:ascii="Century" w:eastAsia="ＭＳ 明朝" w:hAnsi="Century" w:cs="Times New Roman" w:hint="eastAsia"/>
        </w:rPr>
        <w:t>るだけであること</w:t>
      </w:r>
      <w:r w:rsidR="00980681">
        <w:rPr>
          <w:rFonts w:ascii="Century" w:eastAsia="ＭＳ 明朝" w:hAnsi="Century" w:cs="Times New Roman" w:hint="eastAsia"/>
        </w:rPr>
        <w:t>を懸念する。さらに、アクセシビリティを促進するための法律を制定するという肯定的</w:t>
      </w:r>
      <w:r w:rsidR="00AC0464">
        <w:rPr>
          <w:rFonts w:ascii="Century" w:eastAsia="ＭＳ 明朝" w:hAnsi="Century" w:cs="Times New Roman" w:hint="eastAsia"/>
        </w:rPr>
        <w:t>な手段</w:t>
      </w:r>
      <w:r w:rsidRPr="00E13399">
        <w:rPr>
          <w:rFonts w:ascii="Century" w:eastAsia="ＭＳ 明朝" w:hAnsi="Century" w:cs="Times New Roman" w:hint="eastAsia"/>
        </w:rPr>
        <w:t>を留意しながらも、委員会は、そうした法律を効果的に実施するために必要な資源と施行手段がまだ不十分であることを懸念する。</w:t>
      </w:r>
    </w:p>
    <w:p w14:paraId="16C29DBE" w14:textId="0F87A2DC" w:rsidR="00E13399" w:rsidRPr="00E13399" w:rsidRDefault="00E13399" w:rsidP="00E13399">
      <w:pPr>
        <w:ind w:left="440"/>
        <w:rPr>
          <w:rFonts w:ascii="Century" w:eastAsia="ＭＳ 明朝" w:hAnsi="Century" w:cs="Times New Roman"/>
        </w:rPr>
      </w:pPr>
      <w:r w:rsidRPr="00E13399">
        <w:rPr>
          <w:rFonts w:ascii="Century" w:eastAsia="ＭＳ 明朝" w:hAnsi="Century" w:cs="Times New Roman"/>
        </w:rPr>
        <w:t xml:space="preserve">17. </w:t>
      </w:r>
      <w:r w:rsidRPr="00E13399">
        <w:rPr>
          <w:rFonts w:ascii="Century" w:eastAsia="ＭＳ 明朝" w:hAnsi="Century" w:cs="Times New Roman" w:hint="eastAsia"/>
        </w:rPr>
        <w:t>委員会は次のことを締約国に勧告する：障害者がよりよく社会に参加できるよう、情報通信技術の障壁も除去するようアクセシビリティ政策を拡大する；手話と点字を法律上認識し、障害者に</w:t>
      </w:r>
      <w:r w:rsidR="00AC0464">
        <w:rPr>
          <w:rFonts w:ascii="Century" w:eastAsia="ＭＳ 明朝" w:hAnsi="Century" w:cs="Times New Roman" w:hint="eastAsia"/>
        </w:rPr>
        <w:t>とって</w:t>
      </w:r>
      <w:r w:rsidRPr="00E13399">
        <w:rPr>
          <w:rFonts w:ascii="Century" w:eastAsia="ＭＳ 明朝" w:hAnsi="Century" w:cs="Times New Roman" w:hint="eastAsia"/>
        </w:rPr>
        <w:t>アクセシブル</w:t>
      </w:r>
      <w:r w:rsidR="00AC0464">
        <w:rPr>
          <w:rFonts w:ascii="Century" w:eastAsia="ＭＳ 明朝" w:hAnsi="Century" w:cs="Times New Roman" w:hint="eastAsia"/>
        </w:rPr>
        <w:t>である</w:t>
      </w:r>
      <w:r w:rsidRPr="00E13399">
        <w:rPr>
          <w:rFonts w:ascii="Century" w:eastAsia="ＭＳ 明朝" w:hAnsi="Century" w:cs="Times New Roman" w:hint="eastAsia"/>
        </w:rPr>
        <w:t>メディアコンテンツの量と多様性を改善する</w:t>
      </w:r>
      <w:r w:rsidR="00980681">
        <w:rPr>
          <w:rFonts w:ascii="Century" w:eastAsia="ＭＳ 明朝" w:hAnsi="Century" w:cs="Times New Roman" w:hint="eastAsia"/>
        </w:rPr>
        <w:t>対策</w:t>
      </w:r>
      <w:r w:rsidRPr="00E13399">
        <w:rPr>
          <w:rFonts w:ascii="Century" w:eastAsia="ＭＳ 明朝" w:hAnsi="Century" w:cs="Times New Roman" w:hint="eastAsia"/>
        </w:rPr>
        <w:t>をとる；公共交通、建物、公共空間へのアクセスを保証するための措置に配分する資源の</w:t>
      </w:r>
      <w:r w:rsidR="00980681">
        <w:rPr>
          <w:rFonts w:ascii="Century" w:eastAsia="ＭＳ 明朝" w:hAnsi="Century" w:cs="Times New Roman" w:hint="eastAsia"/>
        </w:rPr>
        <w:t>水準</w:t>
      </w:r>
      <w:r w:rsidRPr="00E13399">
        <w:rPr>
          <w:rFonts w:ascii="Century" w:eastAsia="ＭＳ 明朝" w:hAnsi="Century" w:cs="Times New Roman" w:hint="eastAsia"/>
        </w:rPr>
        <w:t>を高める；アクセシビリティの監視</w:t>
      </w:r>
      <w:r w:rsidR="00980681">
        <w:rPr>
          <w:rFonts w:ascii="Century" w:eastAsia="ＭＳ 明朝" w:hAnsi="Century" w:cs="Times New Roman" w:hint="eastAsia"/>
        </w:rPr>
        <w:t>及び実施</w:t>
      </w:r>
      <w:r w:rsidR="00281C05">
        <w:rPr>
          <w:rFonts w:ascii="Century" w:eastAsia="ＭＳ 明朝" w:hAnsi="Century" w:cs="Times New Roman" w:hint="eastAsia"/>
        </w:rPr>
        <w:t>の仕組み</w:t>
      </w:r>
      <w:r w:rsidRPr="00E13399">
        <w:rPr>
          <w:rFonts w:ascii="Century" w:eastAsia="ＭＳ 明朝" w:hAnsi="Century" w:cs="Times New Roman" w:hint="eastAsia"/>
        </w:rPr>
        <w:t>を強化する。これは、</w:t>
      </w:r>
      <w:r w:rsidR="0013515A">
        <w:rPr>
          <w:rFonts w:ascii="Century" w:eastAsia="ＭＳ 明朝" w:hAnsi="Century" w:cs="Times New Roman" w:hint="eastAsia"/>
        </w:rPr>
        <w:t>条約及び</w:t>
      </w:r>
      <w:r w:rsidRPr="00E13399">
        <w:rPr>
          <w:rFonts w:ascii="Century" w:eastAsia="ＭＳ 明朝" w:hAnsi="Century" w:cs="Times New Roman" w:hint="eastAsia"/>
        </w:rPr>
        <w:t>アクセシビリティに関す</w:t>
      </w:r>
      <w:r w:rsidR="00E75671">
        <w:rPr>
          <w:rFonts w:ascii="Century" w:eastAsia="ＭＳ 明朝" w:hAnsi="Century" w:cs="Times New Roman" w:hint="eastAsia"/>
        </w:rPr>
        <w:t>る一般的意見第</w:t>
      </w:r>
      <w:r w:rsidR="00E75671">
        <w:rPr>
          <w:rFonts w:ascii="Century" w:eastAsia="ＭＳ 明朝" w:hAnsi="Century" w:cs="Times New Roman" w:hint="eastAsia"/>
        </w:rPr>
        <w:t>2</w:t>
      </w:r>
      <w:r w:rsidR="00E75671">
        <w:rPr>
          <w:rFonts w:ascii="Century" w:eastAsia="ＭＳ 明朝" w:hAnsi="Century" w:cs="Times New Roman" w:hint="eastAsia"/>
        </w:rPr>
        <w:t>号</w:t>
      </w:r>
      <w:r w:rsidRPr="00E13399">
        <w:rPr>
          <w:rFonts w:ascii="Century" w:eastAsia="ＭＳ 明朝" w:hAnsi="Century" w:cs="Times New Roman" w:hint="eastAsia"/>
        </w:rPr>
        <w:t>（</w:t>
      </w:r>
      <w:r w:rsidRPr="00E13399">
        <w:rPr>
          <w:rFonts w:ascii="Century" w:eastAsia="ＭＳ 明朝" w:hAnsi="Century" w:cs="Times New Roman" w:hint="eastAsia"/>
        </w:rPr>
        <w:t>2014</w:t>
      </w:r>
      <w:r w:rsidRPr="00E13399">
        <w:rPr>
          <w:rFonts w:ascii="Century" w:eastAsia="ＭＳ 明朝" w:hAnsi="Century" w:cs="Times New Roman" w:hint="eastAsia"/>
        </w:rPr>
        <w:t>年）に</w:t>
      </w:r>
      <w:r w:rsidR="0013515A">
        <w:rPr>
          <w:rFonts w:ascii="Century" w:eastAsia="ＭＳ 明朝" w:hAnsi="Century" w:cs="Times New Roman" w:hint="eastAsia"/>
        </w:rPr>
        <w:t>一致し</w:t>
      </w:r>
      <w:r w:rsidRPr="00E13399">
        <w:rPr>
          <w:rFonts w:ascii="Century" w:eastAsia="ＭＳ 明朝" w:hAnsi="Century" w:cs="Times New Roman" w:hint="eastAsia"/>
        </w:rPr>
        <w:t>、</w:t>
      </w:r>
      <w:r w:rsidR="0013515A">
        <w:rPr>
          <w:rFonts w:ascii="Century" w:eastAsia="ＭＳ 明朝" w:hAnsi="Century" w:cs="Times New Roman" w:hint="eastAsia"/>
        </w:rPr>
        <w:t>法律で定められているアクセシビリティ基準に達成しない場合、それにみあった処罰を確保</w:t>
      </w:r>
      <w:r w:rsidRPr="00E13399">
        <w:rPr>
          <w:rFonts w:ascii="Century" w:eastAsia="ＭＳ 明朝" w:hAnsi="Century" w:cs="Times New Roman" w:hint="eastAsia"/>
        </w:rPr>
        <w:t>することも含むべきである。</w:t>
      </w:r>
    </w:p>
    <w:p w14:paraId="432A515F" w14:textId="77777777" w:rsidR="00E13399" w:rsidRPr="00E75671" w:rsidRDefault="00E13399" w:rsidP="00E13399">
      <w:pPr>
        <w:ind w:left="440"/>
        <w:rPr>
          <w:rFonts w:ascii="Century" w:eastAsia="ＭＳ 明朝" w:hAnsi="Century" w:cs="Times New Roman"/>
        </w:rPr>
      </w:pPr>
    </w:p>
    <w:p w14:paraId="49809110" w14:textId="77777777" w:rsidR="00E13399" w:rsidRPr="00E13399" w:rsidRDefault="00E13399" w:rsidP="00E13399">
      <w:pPr>
        <w:ind w:left="440"/>
        <w:rPr>
          <w:rFonts w:ascii="Century" w:eastAsia="ＭＳ 明朝" w:hAnsi="Century" w:cs="Times New Roman"/>
        </w:rPr>
      </w:pPr>
      <w:r w:rsidRPr="00E13399">
        <w:rPr>
          <w:rFonts w:ascii="Century" w:eastAsia="ＭＳ 明朝" w:hAnsi="Century" w:cs="Times New Roman" w:hint="eastAsia"/>
        </w:rPr>
        <w:t>危険な状況及び人道上の緊急事態（第</w:t>
      </w:r>
      <w:r w:rsidRPr="00E13399">
        <w:rPr>
          <w:rFonts w:ascii="Century" w:eastAsia="ＭＳ 明朝" w:hAnsi="Century" w:cs="Times New Roman" w:hint="eastAsia"/>
        </w:rPr>
        <w:t>1</w:t>
      </w:r>
      <w:r w:rsidRPr="00E13399">
        <w:rPr>
          <w:rFonts w:ascii="Century" w:eastAsia="ＭＳ 明朝" w:hAnsi="Century" w:cs="Times New Roman"/>
        </w:rPr>
        <w:t>1</w:t>
      </w:r>
      <w:r w:rsidRPr="00E13399">
        <w:rPr>
          <w:rFonts w:ascii="Century" w:eastAsia="ＭＳ 明朝" w:hAnsi="Century" w:cs="Times New Roman" w:hint="eastAsia"/>
        </w:rPr>
        <w:t>条）</w:t>
      </w:r>
    </w:p>
    <w:p w14:paraId="6449EDB3" w14:textId="77777777" w:rsidR="00E13399" w:rsidRPr="00E13399" w:rsidRDefault="00E13399" w:rsidP="00E13399">
      <w:pPr>
        <w:ind w:left="440"/>
        <w:rPr>
          <w:rFonts w:ascii="Century" w:eastAsia="ＭＳ 明朝" w:hAnsi="Century" w:cs="Times New Roman"/>
        </w:rPr>
      </w:pPr>
      <w:r w:rsidRPr="00E13399">
        <w:rPr>
          <w:rFonts w:ascii="Century" w:eastAsia="ＭＳ 明朝" w:hAnsi="Century" w:cs="Times New Roman"/>
        </w:rPr>
        <w:t xml:space="preserve">18. </w:t>
      </w:r>
      <w:r w:rsidR="00A43A11">
        <w:rPr>
          <w:rFonts w:ascii="Century" w:eastAsia="ＭＳ 明朝" w:hAnsi="Century" w:cs="Times New Roman" w:hint="eastAsia"/>
        </w:rPr>
        <w:t>委員会は、締約国が頻繁に自然災害を経験するという事実がありながら</w:t>
      </w:r>
      <w:r w:rsidRPr="00E13399">
        <w:rPr>
          <w:rFonts w:ascii="Century" w:eastAsia="ＭＳ 明朝" w:hAnsi="Century" w:cs="Times New Roman" w:hint="eastAsia"/>
        </w:rPr>
        <w:t>、危険</w:t>
      </w:r>
      <w:r w:rsidR="00A43A11">
        <w:rPr>
          <w:rFonts w:ascii="Century" w:eastAsia="ＭＳ 明朝" w:hAnsi="Century" w:cs="Times New Roman" w:hint="eastAsia"/>
        </w:rPr>
        <w:t>な状況及び人道的緊急事態において障害者を保護する特定の手段や支援</w:t>
      </w:r>
      <w:r w:rsidRPr="00E13399">
        <w:rPr>
          <w:rFonts w:ascii="Century" w:eastAsia="ＭＳ 明朝" w:hAnsi="Century" w:cs="Times New Roman" w:hint="eastAsia"/>
        </w:rPr>
        <w:t>が不足していることを懸念する。</w:t>
      </w:r>
    </w:p>
    <w:p w14:paraId="0330D289" w14:textId="06594D64" w:rsidR="00E13399" w:rsidRPr="00E13399" w:rsidRDefault="00E13399" w:rsidP="00E13399">
      <w:pPr>
        <w:ind w:left="440"/>
        <w:rPr>
          <w:rFonts w:ascii="Century" w:eastAsia="ＭＳ 明朝" w:hAnsi="Century" w:cs="Times New Roman"/>
        </w:rPr>
      </w:pPr>
      <w:r w:rsidRPr="00E13399">
        <w:rPr>
          <w:rFonts w:ascii="Century" w:eastAsia="ＭＳ 明朝" w:hAnsi="Century" w:cs="Times New Roman"/>
        </w:rPr>
        <w:t xml:space="preserve">19. </w:t>
      </w:r>
      <w:r w:rsidRPr="00E13399">
        <w:rPr>
          <w:rFonts w:ascii="Century" w:eastAsia="ＭＳ 明朝" w:hAnsi="Century" w:cs="Times New Roman" w:hint="eastAsia"/>
        </w:rPr>
        <w:t>委員会は危険な状況及び人道上の緊急事態にいる障害者に支援を提供する国家計画を採択し、</w:t>
      </w:r>
      <w:r w:rsidR="00643160">
        <w:rPr>
          <w:rFonts w:ascii="Century" w:eastAsia="ＭＳ 明朝" w:hAnsi="Century" w:cs="Times New Roman" w:hint="eastAsia"/>
        </w:rPr>
        <w:t>その計画がすべての障害者、特にろう者にとって、</w:t>
      </w:r>
      <w:r w:rsidR="00E75671" w:rsidRPr="00E75671">
        <w:rPr>
          <w:rFonts w:ascii="Century" w:eastAsia="ＭＳ 明朝" w:hAnsi="Century" w:cs="Times New Roman" w:hint="eastAsia"/>
        </w:rPr>
        <w:t>そのフォーマットを適合させることを含め、</w:t>
      </w:r>
      <w:r w:rsidR="00643160">
        <w:rPr>
          <w:rFonts w:ascii="Century" w:eastAsia="ＭＳ 明朝" w:hAnsi="Century" w:cs="Times New Roman" w:hint="eastAsia"/>
        </w:rPr>
        <w:t>インクルーシブでアクセシブルにすることを勧告する</w:t>
      </w:r>
      <w:r w:rsidRPr="00E13399">
        <w:rPr>
          <w:rFonts w:ascii="Century" w:eastAsia="ＭＳ 明朝" w:hAnsi="Century" w:cs="Times New Roman" w:hint="eastAsia"/>
        </w:rPr>
        <w:t>。</w:t>
      </w:r>
    </w:p>
    <w:p w14:paraId="03097178" w14:textId="77777777" w:rsidR="00E13399" w:rsidRPr="00643160" w:rsidRDefault="00E13399" w:rsidP="00E13399">
      <w:pPr>
        <w:ind w:left="440"/>
        <w:rPr>
          <w:rFonts w:ascii="Century" w:eastAsia="ＭＳ 明朝" w:hAnsi="Century" w:cs="Times New Roman"/>
        </w:rPr>
      </w:pPr>
    </w:p>
    <w:p w14:paraId="1C52B5B5" w14:textId="77777777" w:rsidR="00E13399" w:rsidRPr="00E13399" w:rsidRDefault="00E13399" w:rsidP="00E13399">
      <w:pPr>
        <w:ind w:left="440"/>
        <w:rPr>
          <w:rFonts w:ascii="Century" w:eastAsia="ＭＳ 明朝" w:hAnsi="Century" w:cs="Times New Roman"/>
        </w:rPr>
      </w:pPr>
      <w:r w:rsidRPr="00E13399">
        <w:rPr>
          <w:rFonts w:ascii="Century" w:eastAsia="ＭＳ 明朝" w:hAnsi="Century" w:cs="Times New Roman" w:hint="eastAsia"/>
        </w:rPr>
        <w:t>法律の前にひとしく認められる権利（第</w:t>
      </w:r>
      <w:r w:rsidRPr="00E13399">
        <w:rPr>
          <w:rFonts w:ascii="Century" w:eastAsia="ＭＳ 明朝" w:hAnsi="Century" w:cs="Times New Roman" w:hint="eastAsia"/>
        </w:rPr>
        <w:t>12</w:t>
      </w:r>
      <w:r w:rsidRPr="00E13399">
        <w:rPr>
          <w:rFonts w:ascii="Century" w:eastAsia="ＭＳ 明朝" w:hAnsi="Century" w:cs="Times New Roman" w:hint="eastAsia"/>
        </w:rPr>
        <w:t>条）</w:t>
      </w:r>
    </w:p>
    <w:p w14:paraId="2C119234" w14:textId="384CF46E" w:rsidR="00E13399" w:rsidRPr="00E13399" w:rsidRDefault="00E13399" w:rsidP="00E13399">
      <w:pPr>
        <w:ind w:left="440"/>
        <w:rPr>
          <w:rFonts w:ascii="Century" w:eastAsia="ＭＳ 明朝" w:hAnsi="Century" w:cs="Times New Roman"/>
        </w:rPr>
      </w:pPr>
      <w:r w:rsidRPr="00E13399">
        <w:rPr>
          <w:rFonts w:ascii="Century" w:eastAsia="ＭＳ 明朝" w:hAnsi="Century" w:cs="Times New Roman" w:hint="eastAsia"/>
        </w:rPr>
        <w:t xml:space="preserve">20. </w:t>
      </w:r>
      <w:r w:rsidR="00656C77">
        <w:rPr>
          <w:rFonts w:ascii="Century" w:eastAsia="ＭＳ 明朝" w:hAnsi="Century" w:cs="Times New Roman" w:hint="eastAsia"/>
        </w:rPr>
        <w:t>委員会は、締約国の法的措置</w:t>
      </w:r>
      <w:r w:rsidRPr="00E13399">
        <w:rPr>
          <w:rFonts w:ascii="Century" w:eastAsia="ＭＳ 明朝" w:hAnsi="Century" w:cs="Times New Roman" w:hint="eastAsia"/>
        </w:rPr>
        <w:t>が障害者、特に知的及び</w:t>
      </w:r>
      <w:r w:rsidRPr="00E13399">
        <w:rPr>
          <w:rFonts w:ascii="Century" w:eastAsia="ＭＳ 明朝" w:hAnsi="Century" w:cs="Times New Roman" w:hint="eastAsia"/>
        </w:rPr>
        <w:t>/</w:t>
      </w:r>
      <w:r w:rsidRPr="00E13399">
        <w:rPr>
          <w:rFonts w:ascii="Century" w:eastAsia="ＭＳ 明朝" w:hAnsi="Century" w:cs="Times New Roman" w:hint="eastAsia"/>
        </w:rPr>
        <w:t>もしくは精神障害</w:t>
      </w:r>
      <w:r w:rsidR="00656C77">
        <w:rPr>
          <w:rFonts w:ascii="Century" w:eastAsia="ＭＳ 明朝" w:hAnsi="Century" w:cs="Times New Roman" w:hint="eastAsia"/>
        </w:rPr>
        <w:t>者</w:t>
      </w:r>
      <w:r w:rsidR="00643160">
        <w:rPr>
          <w:rFonts w:ascii="Century" w:eastAsia="ＭＳ 明朝" w:hAnsi="Century" w:cs="Times New Roman" w:hint="eastAsia"/>
        </w:rPr>
        <w:t>の権利を保証し</w:t>
      </w:r>
      <w:r w:rsidRPr="00E13399">
        <w:rPr>
          <w:rFonts w:ascii="Century" w:eastAsia="ＭＳ 明朝" w:hAnsi="Century" w:cs="Times New Roman" w:hint="eastAsia"/>
        </w:rPr>
        <w:t>、他の人達との平等を基礎として</w:t>
      </w:r>
      <w:r w:rsidR="00656C77">
        <w:rPr>
          <w:rFonts w:ascii="Century" w:eastAsia="ＭＳ 明朝" w:hAnsi="Century" w:cs="Times New Roman" w:hint="eastAsia"/>
        </w:rPr>
        <w:t>自分達の生活について選択し、法的能力を享受するには不十分であることを懸念する。委員会は</w:t>
      </w:r>
      <w:r w:rsidRPr="00E13399">
        <w:rPr>
          <w:rFonts w:ascii="Century" w:eastAsia="ＭＳ 明朝" w:hAnsi="Century" w:cs="Times New Roman" w:hint="eastAsia"/>
        </w:rPr>
        <w:t>締約国が、障害によって生じた心理的制限のため</w:t>
      </w:r>
      <w:r w:rsidR="00643160">
        <w:rPr>
          <w:rFonts w:ascii="Century" w:eastAsia="ＭＳ 明朝" w:hAnsi="Century" w:cs="Times New Roman" w:hint="eastAsia"/>
        </w:rPr>
        <w:t>、</w:t>
      </w:r>
      <w:r w:rsidRPr="00E13399">
        <w:rPr>
          <w:rFonts w:ascii="Century" w:eastAsia="ＭＳ 明朝" w:hAnsi="Century" w:cs="Times New Roman" w:hint="eastAsia"/>
        </w:rPr>
        <w:t>持続的に法的能力がないとみなされた人の財産や個人的問題について</w:t>
      </w:r>
      <w:r w:rsidR="00656C77">
        <w:rPr>
          <w:rFonts w:ascii="Century" w:eastAsia="ＭＳ 明朝" w:hAnsi="Century" w:cs="Times New Roman" w:hint="eastAsia"/>
        </w:rPr>
        <w:t>、障害者の後見人に</w:t>
      </w:r>
      <w:r w:rsidRPr="00E13399">
        <w:rPr>
          <w:rFonts w:ascii="Century" w:eastAsia="ＭＳ 明朝" w:hAnsi="Century" w:cs="Times New Roman" w:hint="eastAsia"/>
        </w:rPr>
        <w:t>意思決定することを許していることを懸念する。委員会は、このようなシステムは支援付き意思決定ではなく代理意思決定を促進し、条約の第</w:t>
      </w:r>
      <w:r w:rsidRPr="00E13399">
        <w:rPr>
          <w:rFonts w:ascii="Century" w:eastAsia="ＭＳ 明朝" w:hAnsi="Century" w:cs="Times New Roman" w:hint="eastAsia"/>
        </w:rPr>
        <w:t>12</w:t>
      </w:r>
      <w:r w:rsidRPr="00E13399">
        <w:rPr>
          <w:rFonts w:ascii="Century" w:eastAsia="ＭＳ 明朝" w:hAnsi="Century" w:cs="Times New Roman" w:hint="eastAsia"/>
        </w:rPr>
        <w:t>条及び委員会</w:t>
      </w:r>
      <w:r w:rsidR="00E75671">
        <w:rPr>
          <w:rFonts w:ascii="Century" w:eastAsia="ＭＳ 明朝" w:hAnsi="Century" w:cs="Times New Roman" w:hint="eastAsia"/>
        </w:rPr>
        <w:t>一般的意見第</w:t>
      </w:r>
      <w:r w:rsidR="00E75671">
        <w:rPr>
          <w:rFonts w:ascii="Century" w:eastAsia="ＭＳ 明朝" w:hAnsi="Century" w:cs="Times New Roman" w:hint="eastAsia"/>
        </w:rPr>
        <w:t>1</w:t>
      </w:r>
      <w:r w:rsidR="00E75671">
        <w:rPr>
          <w:rFonts w:ascii="Century" w:eastAsia="ＭＳ 明朝" w:hAnsi="Century" w:cs="Times New Roman" w:hint="eastAsia"/>
        </w:rPr>
        <w:t>号</w:t>
      </w:r>
      <w:r w:rsidRPr="00E13399">
        <w:rPr>
          <w:rFonts w:ascii="Century" w:eastAsia="ＭＳ 明朝" w:hAnsi="Century" w:cs="Times New Roman" w:hint="eastAsia"/>
        </w:rPr>
        <w:t>（</w:t>
      </w:r>
      <w:r w:rsidRPr="00E13399">
        <w:rPr>
          <w:rFonts w:ascii="Century" w:eastAsia="ＭＳ 明朝" w:hAnsi="Century" w:cs="Times New Roman" w:hint="eastAsia"/>
        </w:rPr>
        <w:t>2014</w:t>
      </w:r>
      <w:r w:rsidRPr="00E13399">
        <w:rPr>
          <w:rFonts w:ascii="Century" w:eastAsia="ＭＳ 明朝" w:hAnsi="Century" w:cs="Times New Roman" w:hint="eastAsia"/>
        </w:rPr>
        <w:t>）の</w:t>
      </w:r>
      <w:r w:rsidR="00643160">
        <w:rPr>
          <w:rFonts w:ascii="Century" w:eastAsia="ＭＳ 明朝" w:hAnsi="Century" w:cs="Times New Roman" w:hint="eastAsia"/>
        </w:rPr>
        <w:t>、</w:t>
      </w:r>
      <w:r w:rsidRPr="00E13399">
        <w:rPr>
          <w:rFonts w:ascii="Century" w:eastAsia="ＭＳ 明朝" w:hAnsi="Century" w:cs="Times New Roman" w:hint="eastAsia"/>
        </w:rPr>
        <w:t>法律の前にひとしく認められることに書かれたこと</w:t>
      </w:r>
      <w:r w:rsidR="00656C77">
        <w:rPr>
          <w:rFonts w:ascii="Century" w:eastAsia="ＭＳ 明朝" w:hAnsi="Century" w:cs="Times New Roman" w:hint="eastAsia"/>
        </w:rPr>
        <w:t>に反しているこ</w:t>
      </w:r>
      <w:r w:rsidRPr="00E13399">
        <w:rPr>
          <w:rFonts w:ascii="Century" w:eastAsia="ＭＳ 明朝" w:hAnsi="Century" w:cs="Times New Roman" w:hint="eastAsia"/>
        </w:rPr>
        <w:t>とを留意する。</w:t>
      </w:r>
    </w:p>
    <w:p w14:paraId="3922A298" w14:textId="50634353" w:rsidR="00E13399" w:rsidRPr="00E13399" w:rsidRDefault="00E13399" w:rsidP="00E13399">
      <w:pPr>
        <w:ind w:left="440"/>
        <w:rPr>
          <w:rFonts w:ascii="Century" w:eastAsia="ＭＳ 明朝" w:hAnsi="Century" w:cs="Times New Roman"/>
        </w:rPr>
      </w:pPr>
      <w:r w:rsidRPr="00E13399">
        <w:rPr>
          <w:rFonts w:ascii="Century" w:eastAsia="ＭＳ 明朝" w:hAnsi="Century" w:cs="Times New Roman" w:hint="eastAsia"/>
        </w:rPr>
        <w:t xml:space="preserve">21. </w:t>
      </w:r>
      <w:r w:rsidRPr="00E13399">
        <w:rPr>
          <w:rFonts w:ascii="Century" w:eastAsia="ＭＳ 明朝" w:hAnsi="Century" w:cs="Times New Roman" w:hint="eastAsia"/>
        </w:rPr>
        <w:t>委員会は締約国に、障害者がどこで誰と暮らすかを決める権利、自らが好む政党に</w:t>
      </w:r>
      <w:r w:rsidR="00C50EA6">
        <w:rPr>
          <w:rFonts w:ascii="Century" w:eastAsia="ＭＳ 明朝" w:hAnsi="Century" w:cs="Times New Roman" w:hint="eastAsia"/>
        </w:rPr>
        <w:t>投票する権利、自らのヘルスケアの決定が尊重される権利、自らの財務</w:t>
      </w:r>
      <w:r w:rsidRPr="00E13399">
        <w:rPr>
          <w:rFonts w:ascii="Century" w:eastAsia="ＭＳ 明朝" w:hAnsi="Century" w:cs="Times New Roman" w:hint="eastAsia"/>
        </w:rPr>
        <w:t>問題を管理する権利、映画館や他の娯楽や文化的活動にアクセスがある権利を含む、障害者の法的能力を保証すること</w:t>
      </w:r>
      <w:r w:rsidR="00643160">
        <w:rPr>
          <w:rFonts w:ascii="Century" w:eastAsia="ＭＳ 明朝" w:hAnsi="Century" w:cs="Times New Roman" w:hint="eastAsia"/>
        </w:rPr>
        <w:t>を強く促す。委員会は</w:t>
      </w:r>
      <w:r w:rsidR="001824F6">
        <w:rPr>
          <w:rFonts w:ascii="Century" w:eastAsia="ＭＳ 明朝" w:hAnsi="Century" w:cs="Times New Roman" w:hint="eastAsia"/>
        </w:rPr>
        <w:t>締約国が</w:t>
      </w:r>
      <w:r w:rsidR="00643160">
        <w:rPr>
          <w:rFonts w:ascii="Century" w:eastAsia="ＭＳ 明朝" w:hAnsi="Century" w:cs="Times New Roman" w:hint="eastAsia"/>
        </w:rPr>
        <w:t>、代理意思決定から、障害者の自律、意思、好みを尊重する</w:t>
      </w:r>
      <w:r w:rsidR="001824F6">
        <w:rPr>
          <w:rFonts w:ascii="Century" w:eastAsia="ＭＳ 明朝" w:hAnsi="Century" w:cs="Times New Roman" w:hint="eastAsia"/>
        </w:rPr>
        <w:t>支援</w:t>
      </w:r>
      <w:r w:rsidR="001824F6" w:rsidRPr="00E13399">
        <w:rPr>
          <w:rFonts w:ascii="Century" w:eastAsia="ＭＳ 明朝" w:hAnsi="Century" w:cs="Times New Roman" w:hint="eastAsia"/>
        </w:rPr>
        <w:t>付意思決定に</w:t>
      </w:r>
      <w:r w:rsidR="001824F6">
        <w:rPr>
          <w:rFonts w:ascii="Century" w:eastAsia="ＭＳ 明朝" w:hAnsi="Century" w:cs="Times New Roman" w:hint="eastAsia"/>
        </w:rPr>
        <w:t>移行し</w:t>
      </w:r>
      <w:r w:rsidR="001824F6" w:rsidRPr="00E13399">
        <w:rPr>
          <w:rFonts w:ascii="Century" w:eastAsia="ＭＳ 明朝" w:hAnsi="Century" w:cs="Times New Roman" w:hint="eastAsia"/>
        </w:rPr>
        <w:t>、</w:t>
      </w:r>
      <w:r w:rsidR="00643160" w:rsidRPr="00E13399">
        <w:rPr>
          <w:rFonts w:ascii="Century" w:eastAsia="ＭＳ 明朝" w:hAnsi="Century" w:cs="Times New Roman" w:hint="eastAsia"/>
        </w:rPr>
        <w:t>条約の第</w:t>
      </w:r>
      <w:r w:rsidR="00643160" w:rsidRPr="00E13399">
        <w:rPr>
          <w:rFonts w:ascii="Century" w:eastAsia="ＭＳ 明朝" w:hAnsi="Century" w:cs="Times New Roman" w:hint="eastAsia"/>
        </w:rPr>
        <w:t>12</w:t>
      </w:r>
      <w:r w:rsidR="00643160" w:rsidRPr="00E13399">
        <w:rPr>
          <w:rFonts w:ascii="Century" w:eastAsia="ＭＳ 明朝" w:hAnsi="Century" w:cs="Times New Roman" w:hint="eastAsia"/>
        </w:rPr>
        <w:t>条</w:t>
      </w:r>
      <w:r w:rsidR="00643160">
        <w:rPr>
          <w:rFonts w:ascii="Century" w:eastAsia="ＭＳ 明朝" w:hAnsi="Century" w:cs="Times New Roman" w:hint="eastAsia"/>
        </w:rPr>
        <w:t>及</w:t>
      </w:r>
      <w:r w:rsidR="00E75671">
        <w:rPr>
          <w:rFonts w:ascii="Century" w:eastAsia="ＭＳ 明朝" w:hAnsi="Century" w:cs="Times New Roman" w:hint="eastAsia"/>
        </w:rPr>
        <w:t>び一般的意見第</w:t>
      </w:r>
      <w:r w:rsidR="00E75671">
        <w:rPr>
          <w:rFonts w:ascii="Century" w:eastAsia="ＭＳ 明朝" w:hAnsi="Century" w:cs="Times New Roman" w:hint="eastAsia"/>
        </w:rPr>
        <w:t>1</w:t>
      </w:r>
      <w:r w:rsidR="00E75671">
        <w:rPr>
          <w:rFonts w:ascii="Century" w:eastAsia="ＭＳ 明朝" w:hAnsi="Century" w:cs="Times New Roman" w:hint="eastAsia"/>
        </w:rPr>
        <w:t>号</w:t>
      </w:r>
      <w:r w:rsidR="00643160">
        <w:rPr>
          <w:rFonts w:ascii="Century" w:eastAsia="ＭＳ 明朝" w:hAnsi="Century" w:cs="Times New Roman" w:hint="eastAsia"/>
        </w:rPr>
        <w:t>と完全に調和するために、民法を改正することを勧告する。</w:t>
      </w:r>
      <w:r w:rsidR="00386EF6">
        <w:rPr>
          <w:rFonts w:ascii="Century" w:eastAsia="ＭＳ 明朝" w:hAnsi="Century" w:cs="Times New Roman" w:hint="eastAsia"/>
        </w:rPr>
        <w:t>それには、</w:t>
      </w:r>
      <w:r w:rsidR="001824F6">
        <w:rPr>
          <w:rFonts w:ascii="Century" w:eastAsia="ＭＳ 明朝" w:hAnsi="Century" w:cs="Times New Roman" w:hint="eastAsia"/>
        </w:rPr>
        <w:t>医</w:t>
      </w:r>
      <w:r w:rsidRPr="00E13399">
        <w:rPr>
          <w:rFonts w:ascii="Century" w:eastAsia="ＭＳ 明朝" w:hAnsi="Century" w:cs="Times New Roman" w:hint="eastAsia"/>
        </w:rPr>
        <w:t>学的治療</w:t>
      </w:r>
      <w:r w:rsidR="00E75671">
        <w:rPr>
          <w:rFonts w:ascii="Century" w:eastAsia="ＭＳ 明朝" w:hAnsi="Century" w:cs="Times New Roman" w:hint="eastAsia"/>
        </w:rPr>
        <w:t>のインフォームドコンセントを行う・取り消すという個人の権利、</w:t>
      </w:r>
      <w:r w:rsidR="00574BC3">
        <w:rPr>
          <w:rFonts w:ascii="Century" w:eastAsia="ＭＳ 明朝" w:hAnsi="Century" w:cs="Times New Roman" w:hint="eastAsia"/>
        </w:rPr>
        <w:t>司法</w:t>
      </w:r>
      <w:r w:rsidRPr="00E13399">
        <w:rPr>
          <w:rFonts w:ascii="Century" w:eastAsia="ＭＳ 明朝" w:hAnsi="Century" w:cs="Times New Roman" w:hint="eastAsia"/>
        </w:rPr>
        <w:t>、投票、結婚、親権の行使、仕事、自らの住居を選ぶこと</w:t>
      </w:r>
      <w:r w:rsidR="00574BC3">
        <w:rPr>
          <w:rFonts w:ascii="Century" w:eastAsia="ＭＳ 明朝" w:hAnsi="Century" w:cs="Times New Roman" w:hint="eastAsia"/>
        </w:rPr>
        <w:t>へのアクセス</w:t>
      </w:r>
      <w:r w:rsidRPr="00E13399">
        <w:rPr>
          <w:rFonts w:ascii="Century" w:eastAsia="ＭＳ 明朝" w:hAnsi="Century" w:cs="Times New Roman" w:hint="eastAsia"/>
        </w:rPr>
        <w:t>を含む</w:t>
      </w:r>
      <w:r w:rsidR="001824F6">
        <w:rPr>
          <w:rFonts w:ascii="Century" w:eastAsia="ＭＳ 明朝" w:hAnsi="Century" w:cs="Times New Roman" w:hint="eastAsia"/>
        </w:rPr>
        <w:t>。委員会は締約国に、障害者及び彼らを代表する団体と協議及び</w:t>
      </w:r>
      <w:r w:rsidRPr="00E13399">
        <w:rPr>
          <w:rFonts w:ascii="Century" w:eastAsia="ＭＳ 明朝" w:hAnsi="Century" w:cs="Times New Roman" w:hint="eastAsia"/>
        </w:rPr>
        <w:t>協力</w:t>
      </w:r>
      <w:r w:rsidR="001824F6">
        <w:rPr>
          <w:rFonts w:ascii="Century" w:eastAsia="ＭＳ 明朝" w:hAnsi="Century" w:cs="Times New Roman" w:hint="eastAsia"/>
        </w:rPr>
        <w:t>の上</w:t>
      </w:r>
      <w:r w:rsidRPr="00E13399">
        <w:rPr>
          <w:rFonts w:ascii="Century" w:eastAsia="ＭＳ 明朝" w:hAnsi="Century" w:cs="Times New Roman" w:hint="eastAsia"/>
        </w:rPr>
        <w:t>、公務員、裁判官、ソーシャルワーカーを含む、国家、地域、地元レベルのすべての関係者に、障害者の法的能力の認</w:t>
      </w:r>
      <w:r w:rsidR="00281C05">
        <w:rPr>
          <w:rFonts w:ascii="Century" w:eastAsia="ＭＳ 明朝" w:hAnsi="Century" w:cs="Times New Roman" w:hint="eastAsia"/>
        </w:rPr>
        <w:t>識及び支援付意思決定の仕組み</w:t>
      </w:r>
      <w:r w:rsidRPr="00E13399">
        <w:rPr>
          <w:rFonts w:ascii="Century" w:eastAsia="ＭＳ 明朝" w:hAnsi="Century" w:cs="Times New Roman" w:hint="eastAsia"/>
        </w:rPr>
        <w:t>についてトレーニングを提供することを勧告する。</w:t>
      </w:r>
    </w:p>
    <w:p w14:paraId="00C4628F" w14:textId="77777777" w:rsidR="00E13399" w:rsidRPr="001824F6" w:rsidRDefault="00E13399" w:rsidP="004A005E">
      <w:pPr>
        <w:pStyle w:val="a3"/>
        <w:ind w:leftChars="0" w:left="440"/>
      </w:pPr>
    </w:p>
    <w:p w14:paraId="0905CA6A" w14:textId="77777777" w:rsidR="00476CB4" w:rsidRDefault="006E48D9" w:rsidP="004A005E">
      <w:pPr>
        <w:pStyle w:val="a3"/>
        <w:ind w:leftChars="0" w:left="440"/>
      </w:pPr>
      <w:r>
        <w:rPr>
          <w:rFonts w:hint="eastAsia"/>
        </w:rPr>
        <w:t>司法</w:t>
      </w:r>
      <w:r w:rsidR="001824F6">
        <w:rPr>
          <w:rFonts w:hint="eastAsia"/>
        </w:rPr>
        <w:t>手続きの利用の機会（司法</w:t>
      </w:r>
      <w:r>
        <w:rPr>
          <w:rFonts w:hint="eastAsia"/>
        </w:rPr>
        <w:t>へのアクセス</w:t>
      </w:r>
      <w:r w:rsidR="001824F6">
        <w:rPr>
          <w:rFonts w:hint="eastAsia"/>
        </w:rPr>
        <w:t>）</w:t>
      </w:r>
      <w:r>
        <w:rPr>
          <w:rFonts w:hint="eastAsia"/>
        </w:rPr>
        <w:t>（第</w:t>
      </w:r>
      <w:r>
        <w:rPr>
          <w:rFonts w:hint="eastAsia"/>
        </w:rPr>
        <w:t>13</w:t>
      </w:r>
      <w:r>
        <w:rPr>
          <w:rFonts w:hint="eastAsia"/>
        </w:rPr>
        <w:t>条）</w:t>
      </w:r>
    </w:p>
    <w:p w14:paraId="3E32FC68" w14:textId="77777777" w:rsidR="006E48D9" w:rsidRDefault="006E48D9" w:rsidP="004A005E">
      <w:pPr>
        <w:pStyle w:val="a3"/>
        <w:ind w:leftChars="0" w:left="440"/>
      </w:pPr>
      <w:r>
        <w:rPr>
          <w:rFonts w:hint="eastAsia"/>
        </w:rPr>
        <w:t xml:space="preserve">22. </w:t>
      </w:r>
      <w:r w:rsidR="00386EF6">
        <w:rPr>
          <w:rFonts w:hint="eastAsia"/>
        </w:rPr>
        <w:t>委員会は、障害者の司法へのアクセスを保証することが</w:t>
      </w:r>
      <w:r>
        <w:rPr>
          <w:rFonts w:hint="eastAsia"/>
        </w:rPr>
        <w:t>必要な状況において、手続き上の配慮に関する明確な規定が不足していることを懸念する。これは、手話</w:t>
      </w:r>
      <w:r w:rsidR="001824F6">
        <w:rPr>
          <w:rFonts w:hint="eastAsia"/>
        </w:rPr>
        <w:t>と点字、及び裁判、法律、法執行</w:t>
      </w:r>
      <w:r>
        <w:rPr>
          <w:rFonts w:hint="eastAsia"/>
        </w:rPr>
        <w:t>の専門家への適切なトレーニングが不足していることも含む。</w:t>
      </w:r>
    </w:p>
    <w:p w14:paraId="4509F417" w14:textId="2C3EC8B9" w:rsidR="006E48D9" w:rsidRPr="00386EF6" w:rsidRDefault="006E48D9" w:rsidP="004A005E">
      <w:pPr>
        <w:pStyle w:val="a3"/>
        <w:ind w:leftChars="0" w:left="440"/>
        <w:rPr>
          <w:color w:val="FF0000"/>
        </w:rPr>
      </w:pPr>
      <w:r>
        <w:rPr>
          <w:rFonts w:hint="eastAsia"/>
        </w:rPr>
        <w:t xml:space="preserve">23. </w:t>
      </w:r>
      <w:r w:rsidR="008D72FD" w:rsidRPr="00E75671">
        <w:rPr>
          <w:rFonts w:hint="eastAsia"/>
        </w:rPr>
        <w:t>委員会は</w:t>
      </w:r>
      <w:r w:rsidRPr="00E75671">
        <w:rPr>
          <w:rFonts w:hint="eastAsia"/>
        </w:rPr>
        <w:t>締約国が</w:t>
      </w:r>
      <w:r w:rsidR="008D72FD" w:rsidRPr="00E75671">
        <w:rPr>
          <w:rFonts w:hint="eastAsia"/>
        </w:rPr>
        <w:t>、</w:t>
      </w:r>
      <w:r w:rsidR="00711441" w:rsidRPr="00E75671">
        <w:rPr>
          <w:rFonts w:hint="eastAsia"/>
        </w:rPr>
        <w:t>障害者が身体的状況や言語（手話や点字が要求され</w:t>
      </w:r>
      <w:r w:rsidR="00386EF6" w:rsidRPr="00E75671">
        <w:rPr>
          <w:rFonts w:hint="eastAsia"/>
        </w:rPr>
        <w:t>ているとき）、及び法律専門家、警察、刑務官への</w:t>
      </w:r>
      <w:r w:rsidR="005B2177" w:rsidRPr="00E75671">
        <w:rPr>
          <w:rFonts w:hint="eastAsia"/>
        </w:rPr>
        <w:t>適切なトレーニングの不足によって差別</w:t>
      </w:r>
      <w:r w:rsidR="00386EF6" w:rsidRPr="00E75671">
        <w:rPr>
          <w:rFonts w:hint="eastAsia"/>
        </w:rPr>
        <w:t>されていることを確証する手段を含み、手続き上の配慮の原則を実施するための法的措置</w:t>
      </w:r>
      <w:r w:rsidR="008D72FD" w:rsidRPr="00E75671">
        <w:rPr>
          <w:rFonts w:hint="eastAsia"/>
        </w:rPr>
        <w:t>を採用し、その中で</w:t>
      </w:r>
      <w:r w:rsidR="00386EF6" w:rsidRPr="00E75671">
        <w:rPr>
          <w:rFonts w:hint="eastAsia"/>
        </w:rPr>
        <w:t>障害女性には特別な注意を払う</w:t>
      </w:r>
      <w:r w:rsidR="008D72FD" w:rsidRPr="00E75671">
        <w:rPr>
          <w:rFonts w:hint="eastAsia"/>
        </w:rPr>
        <w:t>ことを勧告する</w:t>
      </w:r>
      <w:r w:rsidR="00386EF6" w:rsidRPr="00E75671">
        <w:rPr>
          <w:rFonts w:hint="eastAsia"/>
        </w:rPr>
        <w:t>。</w:t>
      </w:r>
    </w:p>
    <w:p w14:paraId="29E5F178" w14:textId="77777777" w:rsidR="006E48D9" w:rsidRPr="00711441" w:rsidRDefault="006E48D9" w:rsidP="004A005E">
      <w:pPr>
        <w:pStyle w:val="a3"/>
        <w:ind w:leftChars="0" w:left="440"/>
      </w:pPr>
    </w:p>
    <w:p w14:paraId="756D5DA2" w14:textId="77777777" w:rsidR="005B2177" w:rsidRDefault="005B2177" w:rsidP="004A005E">
      <w:pPr>
        <w:pStyle w:val="a3"/>
        <w:ind w:leftChars="0" w:left="440"/>
      </w:pPr>
      <w:r>
        <w:rPr>
          <w:rFonts w:hint="eastAsia"/>
        </w:rPr>
        <w:t>身体の自由及び安全（第</w:t>
      </w:r>
      <w:r>
        <w:rPr>
          <w:rFonts w:hint="eastAsia"/>
        </w:rPr>
        <w:t>14</w:t>
      </w:r>
      <w:r>
        <w:rPr>
          <w:rFonts w:hint="eastAsia"/>
        </w:rPr>
        <w:t>条）</w:t>
      </w:r>
    </w:p>
    <w:p w14:paraId="7FAE1645" w14:textId="396660BE" w:rsidR="005B2177" w:rsidRDefault="005B2177" w:rsidP="004A005E">
      <w:pPr>
        <w:pStyle w:val="a3"/>
        <w:ind w:leftChars="0" w:left="440"/>
      </w:pPr>
      <w:r>
        <w:rPr>
          <w:rFonts w:hint="eastAsia"/>
        </w:rPr>
        <w:t xml:space="preserve">24. </w:t>
      </w:r>
      <w:r>
        <w:rPr>
          <w:rFonts w:hint="eastAsia"/>
        </w:rPr>
        <w:t>委員会は、</w:t>
      </w:r>
      <w:r w:rsidR="00F17A45">
        <w:rPr>
          <w:rFonts w:hint="eastAsia"/>
        </w:rPr>
        <w:t>知的及び精神障害者を強制入院や強制収容から守ることを保証する、法的</w:t>
      </w:r>
      <w:r w:rsidR="00E75671">
        <w:rPr>
          <w:rFonts w:hint="eastAsia"/>
        </w:rPr>
        <w:t>な</w:t>
      </w:r>
      <w:r w:rsidR="00281C05">
        <w:rPr>
          <w:rFonts w:hint="eastAsia"/>
        </w:rPr>
        <w:t>保障</w:t>
      </w:r>
      <w:r w:rsidR="00E75671">
        <w:rPr>
          <w:rFonts w:hint="eastAsia"/>
        </w:rPr>
        <w:t>（セーフガード）</w:t>
      </w:r>
      <w:r w:rsidR="00F17A45">
        <w:rPr>
          <w:rFonts w:hint="eastAsia"/>
        </w:rPr>
        <w:t>が、</w:t>
      </w:r>
      <w:r>
        <w:rPr>
          <w:rFonts w:hint="eastAsia"/>
        </w:rPr>
        <w:t>憲法に</w:t>
      </w:r>
      <w:r w:rsidR="00F17A45">
        <w:rPr>
          <w:rFonts w:hint="eastAsia"/>
        </w:rPr>
        <w:t>言及されている以外には充分にないことを懸念する。委員会は障害者が犯罪に関与したと</w:t>
      </w:r>
      <w:r w:rsidR="00873552">
        <w:rPr>
          <w:rFonts w:hint="eastAsia"/>
        </w:rPr>
        <w:t>思われるときや、そうした場合において適正手続きのルールが適応されるかについての情報が不足していることを</w:t>
      </w:r>
      <w:r w:rsidR="00F17A45">
        <w:rPr>
          <w:rFonts w:hint="eastAsia"/>
        </w:rPr>
        <w:t>懸念する。</w:t>
      </w:r>
    </w:p>
    <w:p w14:paraId="5499502C" w14:textId="3DE63FBD" w:rsidR="00873552" w:rsidRDefault="00873552" w:rsidP="004A005E">
      <w:pPr>
        <w:pStyle w:val="a3"/>
        <w:ind w:leftChars="0" w:left="440"/>
      </w:pPr>
      <w:r>
        <w:rPr>
          <w:rFonts w:hint="eastAsia"/>
        </w:rPr>
        <w:t xml:space="preserve">25. </w:t>
      </w:r>
      <w:r>
        <w:rPr>
          <w:rFonts w:hint="eastAsia"/>
        </w:rPr>
        <w:t>委員会は締約国が</w:t>
      </w:r>
      <w:r w:rsidR="00663E48">
        <w:rPr>
          <w:rFonts w:hint="eastAsia"/>
        </w:rPr>
        <w:t>、障害者が刑事上罪を犯したとき、その人物を制裁するために使う</w:t>
      </w:r>
      <w:r>
        <w:rPr>
          <w:rFonts w:hint="eastAsia"/>
        </w:rPr>
        <w:t>手段を</w:t>
      </w:r>
      <w:r w:rsidR="00663E48">
        <w:rPr>
          <w:rFonts w:hint="eastAsia"/>
        </w:rPr>
        <w:t>、</w:t>
      </w:r>
      <w:r>
        <w:rPr>
          <w:rFonts w:hint="eastAsia"/>
        </w:rPr>
        <w:t>制度的に見直すことを始める政策を</w:t>
      </w:r>
      <w:r w:rsidR="00663E48">
        <w:rPr>
          <w:rFonts w:hint="eastAsia"/>
        </w:rPr>
        <w:t>採用</w:t>
      </w:r>
      <w:r>
        <w:rPr>
          <w:rFonts w:hint="eastAsia"/>
        </w:rPr>
        <w:t>することを勧告する。</w:t>
      </w:r>
      <w:r w:rsidR="00E63D8D">
        <w:rPr>
          <w:rFonts w:hint="eastAsia"/>
        </w:rPr>
        <w:t>その制度は、</w:t>
      </w:r>
      <w:r w:rsidR="00C13439">
        <w:rPr>
          <w:rFonts w:hint="eastAsia"/>
        </w:rPr>
        <w:t>とりわけ無罪と推定すること、弁護する権利、公正な裁判という、</w:t>
      </w:r>
      <w:r w:rsidR="00E63D8D">
        <w:rPr>
          <w:rFonts w:hint="eastAsia"/>
        </w:rPr>
        <w:t>刑事裁判制度において罪に問われたすべての人のために作られた</w:t>
      </w:r>
      <w:r w:rsidR="00663E48">
        <w:rPr>
          <w:rFonts w:hint="eastAsia"/>
        </w:rPr>
        <w:t>、</w:t>
      </w:r>
      <w:r w:rsidR="00E63D8D">
        <w:rPr>
          <w:rFonts w:hint="eastAsia"/>
        </w:rPr>
        <w:t>一般的</w:t>
      </w:r>
      <w:r w:rsidR="00E75671">
        <w:rPr>
          <w:rFonts w:hint="eastAsia"/>
        </w:rPr>
        <w:t>な</w:t>
      </w:r>
      <w:r w:rsidR="00281C05">
        <w:rPr>
          <w:rFonts w:hint="eastAsia"/>
        </w:rPr>
        <w:t>保障</w:t>
      </w:r>
      <w:r w:rsidR="00E75671">
        <w:rPr>
          <w:rFonts w:hint="eastAsia"/>
        </w:rPr>
        <w:t>（セーフガード）</w:t>
      </w:r>
      <w:r w:rsidR="00663E48">
        <w:rPr>
          <w:rFonts w:hint="eastAsia"/>
        </w:rPr>
        <w:t>と保証に準拠すべきである。また、委員会は、障害者</w:t>
      </w:r>
      <w:r w:rsidR="00C13439">
        <w:rPr>
          <w:rFonts w:hint="eastAsia"/>
        </w:rPr>
        <w:t>の</w:t>
      </w:r>
      <w:r w:rsidR="00663E48">
        <w:rPr>
          <w:rFonts w:hint="eastAsia"/>
        </w:rPr>
        <w:t>投獄された状況を悪化させないために、刑務所内での合理的配慮を適用</w:t>
      </w:r>
      <w:r w:rsidR="00C13439">
        <w:rPr>
          <w:rFonts w:hint="eastAsia"/>
        </w:rPr>
        <w:t>す</w:t>
      </w:r>
      <w:r w:rsidR="00663E48">
        <w:rPr>
          <w:rFonts w:hint="eastAsia"/>
        </w:rPr>
        <w:t>ることも</w:t>
      </w:r>
      <w:r w:rsidR="00E63D8D">
        <w:rPr>
          <w:rFonts w:hint="eastAsia"/>
        </w:rPr>
        <w:t>勧告する。</w:t>
      </w:r>
    </w:p>
    <w:p w14:paraId="18A5929C" w14:textId="77777777" w:rsidR="00873552" w:rsidRPr="00C13439" w:rsidRDefault="00873552" w:rsidP="004A005E">
      <w:pPr>
        <w:pStyle w:val="a3"/>
        <w:ind w:leftChars="0" w:left="440"/>
      </w:pPr>
    </w:p>
    <w:p w14:paraId="22F6305B" w14:textId="77777777" w:rsidR="00476CB4" w:rsidRDefault="00476CB4" w:rsidP="004A005E">
      <w:pPr>
        <w:pStyle w:val="a3"/>
        <w:ind w:leftChars="0" w:left="440"/>
      </w:pPr>
      <w:r>
        <w:rPr>
          <w:rFonts w:hint="eastAsia"/>
        </w:rPr>
        <w:t>搾取、暴力及び虐待からの自由（第</w:t>
      </w:r>
      <w:r>
        <w:rPr>
          <w:rFonts w:hint="eastAsia"/>
        </w:rPr>
        <w:t>16</w:t>
      </w:r>
      <w:r>
        <w:rPr>
          <w:rFonts w:hint="eastAsia"/>
        </w:rPr>
        <w:t>条）</w:t>
      </w:r>
    </w:p>
    <w:p w14:paraId="59A9EA0D" w14:textId="77777777" w:rsidR="00476CB4" w:rsidRDefault="009F3A24" w:rsidP="004A005E">
      <w:pPr>
        <w:pStyle w:val="a3"/>
        <w:ind w:leftChars="0" w:left="440"/>
      </w:pPr>
      <w:r>
        <w:rPr>
          <w:rFonts w:hint="eastAsia"/>
        </w:rPr>
        <w:t>26</w:t>
      </w:r>
      <w:r w:rsidR="00476CB4">
        <w:t xml:space="preserve">. </w:t>
      </w:r>
      <w:r w:rsidR="00476CB4">
        <w:rPr>
          <w:rFonts w:hint="eastAsia"/>
        </w:rPr>
        <w:t>委員会は、</w:t>
      </w:r>
      <w:r w:rsidR="00E63D8D">
        <w:rPr>
          <w:rFonts w:hint="eastAsia"/>
        </w:rPr>
        <w:t>締約国</w:t>
      </w:r>
      <w:r w:rsidR="00835AAC">
        <w:rPr>
          <w:rFonts w:hint="eastAsia"/>
        </w:rPr>
        <w:t>において、</w:t>
      </w:r>
      <w:r w:rsidR="00E63D8D">
        <w:rPr>
          <w:rFonts w:hint="eastAsia"/>
        </w:rPr>
        <w:t>障害者、特に女性と少女に</w:t>
      </w:r>
      <w:r w:rsidR="00835AAC">
        <w:rPr>
          <w:rFonts w:hint="eastAsia"/>
        </w:rPr>
        <w:t>対し</w:t>
      </w:r>
      <w:r w:rsidR="00E63D8D">
        <w:rPr>
          <w:rFonts w:hint="eastAsia"/>
        </w:rPr>
        <w:t>て、暴力、虐待、搾取</w:t>
      </w:r>
      <w:r w:rsidR="00835AAC">
        <w:rPr>
          <w:rFonts w:hint="eastAsia"/>
        </w:rPr>
        <w:t>の割合が高いこと</w:t>
      </w:r>
      <w:r w:rsidR="00E63D8D">
        <w:rPr>
          <w:rFonts w:hint="eastAsia"/>
        </w:rPr>
        <w:t>、</w:t>
      </w:r>
      <w:r w:rsidR="00835AAC">
        <w:rPr>
          <w:rFonts w:hint="eastAsia"/>
        </w:rPr>
        <w:t>そして</w:t>
      </w:r>
      <w:r w:rsidR="00E63D8D">
        <w:rPr>
          <w:rFonts w:hint="eastAsia"/>
        </w:rPr>
        <w:t>こうした人権侵害への保護措置が不足している</w:t>
      </w:r>
      <w:r>
        <w:rPr>
          <w:rFonts w:hint="eastAsia"/>
        </w:rPr>
        <w:t>とい</w:t>
      </w:r>
      <w:r w:rsidR="00835AAC">
        <w:rPr>
          <w:rFonts w:hint="eastAsia"/>
        </w:rPr>
        <w:t>う情報</w:t>
      </w:r>
      <w:r>
        <w:rPr>
          <w:rFonts w:hint="eastAsia"/>
        </w:rPr>
        <w:t>を</w:t>
      </w:r>
      <w:r w:rsidR="00476CB4">
        <w:rPr>
          <w:rFonts w:hint="eastAsia"/>
        </w:rPr>
        <w:t>懸念する。</w:t>
      </w:r>
    </w:p>
    <w:p w14:paraId="6684CA24" w14:textId="77777777" w:rsidR="009F3A24" w:rsidRDefault="009F3A24" w:rsidP="004A005E">
      <w:pPr>
        <w:pStyle w:val="a3"/>
        <w:ind w:leftChars="0" w:left="440"/>
      </w:pPr>
      <w:r>
        <w:rPr>
          <w:rFonts w:hint="eastAsia"/>
        </w:rPr>
        <w:t>27</w:t>
      </w:r>
      <w:r w:rsidR="00B6425B">
        <w:rPr>
          <w:rFonts w:hint="eastAsia"/>
        </w:rPr>
        <w:t xml:space="preserve">. </w:t>
      </w:r>
      <w:r w:rsidR="00B6425B">
        <w:rPr>
          <w:rFonts w:hint="eastAsia"/>
        </w:rPr>
        <w:t>委員会は、</w:t>
      </w:r>
      <w:r>
        <w:rPr>
          <w:rFonts w:hint="eastAsia"/>
        </w:rPr>
        <w:t>締約国に以下のことを勧告する：</w:t>
      </w:r>
    </w:p>
    <w:p w14:paraId="0F4BA39E" w14:textId="77777777" w:rsidR="008B1488" w:rsidRDefault="008B1488" w:rsidP="004A005E">
      <w:pPr>
        <w:pStyle w:val="a3"/>
        <w:ind w:leftChars="0" w:left="440"/>
      </w:pPr>
      <w:r>
        <w:rPr>
          <w:rFonts w:hint="eastAsia"/>
        </w:rPr>
        <w:t>(a)</w:t>
      </w:r>
      <w:r>
        <w:rPr>
          <w:rFonts w:hint="eastAsia"/>
        </w:rPr>
        <w:t>搾取、暴力、虐待に直面する障害者、とくに女性と</w:t>
      </w:r>
      <w:r w:rsidR="00C13439">
        <w:rPr>
          <w:rFonts w:hint="eastAsia"/>
        </w:rPr>
        <w:t>児童に</w:t>
      </w:r>
      <w:r>
        <w:rPr>
          <w:rFonts w:hint="eastAsia"/>
        </w:rPr>
        <w:t>とって、</w:t>
      </w:r>
      <w:r w:rsidR="00C13439">
        <w:rPr>
          <w:rFonts w:hint="eastAsia"/>
        </w:rPr>
        <w:t>シェルターと法的是正を含む、</w:t>
      </w:r>
      <w:r>
        <w:rPr>
          <w:rFonts w:hint="eastAsia"/>
        </w:rPr>
        <w:t>アクセシブルな保護措置を作る；</w:t>
      </w:r>
    </w:p>
    <w:p w14:paraId="63D0A463" w14:textId="5EF42E19" w:rsidR="008B1488" w:rsidRDefault="008B1488" w:rsidP="008B1488">
      <w:pPr>
        <w:pStyle w:val="a3"/>
        <w:ind w:leftChars="0" w:left="440"/>
      </w:pPr>
      <w:r>
        <w:rPr>
          <w:rFonts w:hint="eastAsia"/>
        </w:rPr>
        <w:t xml:space="preserve">(b) </w:t>
      </w:r>
      <w:r>
        <w:rPr>
          <w:rFonts w:hint="eastAsia"/>
        </w:rPr>
        <w:t>条約の第</w:t>
      </w:r>
      <w:r>
        <w:rPr>
          <w:rFonts w:hint="eastAsia"/>
        </w:rPr>
        <w:t>16</w:t>
      </w:r>
      <w:r>
        <w:rPr>
          <w:rFonts w:hint="eastAsia"/>
        </w:rPr>
        <w:t>条（３）に</w:t>
      </w:r>
      <w:r w:rsidR="00835AAC">
        <w:rPr>
          <w:rFonts w:hint="eastAsia"/>
        </w:rPr>
        <w:t>従って、監視し、障害者を搾取、暴力、虐待から保護する独立し</w:t>
      </w:r>
      <w:r w:rsidR="005645C4">
        <w:rPr>
          <w:rFonts w:hint="eastAsia"/>
        </w:rPr>
        <w:t>た当局</w:t>
      </w:r>
      <w:r>
        <w:rPr>
          <w:rFonts w:hint="eastAsia"/>
        </w:rPr>
        <w:t>を</w:t>
      </w:r>
      <w:r w:rsidR="00835AAC">
        <w:rPr>
          <w:rFonts w:hint="eastAsia"/>
        </w:rPr>
        <w:t>定める</w:t>
      </w:r>
      <w:r>
        <w:rPr>
          <w:rFonts w:hint="eastAsia"/>
        </w:rPr>
        <w:t>。</w:t>
      </w:r>
    </w:p>
    <w:p w14:paraId="563F4873" w14:textId="77777777" w:rsidR="008B5807" w:rsidRPr="00835AAC" w:rsidRDefault="008B5807" w:rsidP="004A005E">
      <w:pPr>
        <w:pStyle w:val="a3"/>
        <w:ind w:leftChars="0" w:left="440"/>
      </w:pPr>
    </w:p>
    <w:p w14:paraId="54CB3F7D" w14:textId="77777777" w:rsidR="008B1488" w:rsidRDefault="008B1488" w:rsidP="004A005E">
      <w:pPr>
        <w:pStyle w:val="a3"/>
        <w:ind w:leftChars="0" w:left="440"/>
      </w:pPr>
      <w:r>
        <w:rPr>
          <w:rFonts w:hint="eastAsia"/>
        </w:rPr>
        <w:t>個人をそのままの状態で保護すること（第</w:t>
      </w:r>
      <w:r>
        <w:rPr>
          <w:rFonts w:hint="eastAsia"/>
        </w:rPr>
        <w:t>17</w:t>
      </w:r>
      <w:r>
        <w:rPr>
          <w:rFonts w:hint="eastAsia"/>
        </w:rPr>
        <w:t>条）</w:t>
      </w:r>
    </w:p>
    <w:p w14:paraId="144F84D7" w14:textId="77777777" w:rsidR="008B1488" w:rsidRDefault="008B1488" w:rsidP="004A005E">
      <w:pPr>
        <w:pStyle w:val="a3"/>
        <w:ind w:leftChars="0" w:left="440"/>
      </w:pPr>
      <w:r>
        <w:rPr>
          <w:rFonts w:hint="eastAsia"/>
        </w:rPr>
        <w:t xml:space="preserve">28. </w:t>
      </w:r>
      <w:r w:rsidR="00835AAC">
        <w:rPr>
          <w:rFonts w:hint="eastAsia"/>
        </w:rPr>
        <w:t>委員会は、遺伝上</w:t>
      </w:r>
      <w:r>
        <w:rPr>
          <w:rFonts w:hint="eastAsia"/>
        </w:rPr>
        <w:t>精神もしくは知的疾患のある人や、精神もしくは知</w:t>
      </w:r>
      <w:r w:rsidR="00835AAC">
        <w:rPr>
          <w:rFonts w:hint="eastAsia"/>
        </w:rPr>
        <w:t>的損傷のある人の妊娠を防ぐために、インフォームドコンセントをせ</w:t>
      </w:r>
      <w:r>
        <w:rPr>
          <w:rFonts w:hint="eastAsia"/>
        </w:rPr>
        <w:t>ずに締約国がとっている措置を懸念する</w:t>
      </w:r>
      <w:r w:rsidR="003C3344">
        <w:rPr>
          <w:rFonts w:hint="eastAsia"/>
        </w:rPr>
        <w:t>（保健法第</w:t>
      </w:r>
      <w:r w:rsidR="003C3344">
        <w:rPr>
          <w:rFonts w:hint="eastAsia"/>
        </w:rPr>
        <w:t>37</w:t>
      </w:r>
      <w:r w:rsidR="003C3344">
        <w:rPr>
          <w:rFonts w:hint="eastAsia"/>
        </w:rPr>
        <w:t>条（ｂ）参照）。</w:t>
      </w:r>
    </w:p>
    <w:p w14:paraId="49A7EB32" w14:textId="77777777" w:rsidR="00B5547D" w:rsidRDefault="003C3344" w:rsidP="004A005E">
      <w:pPr>
        <w:pStyle w:val="a3"/>
        <w:ind w:leftChars="0" w:left="440"/>
      </w:pPr>
      <w:r>
        <w:rPr>
          <w:rFonts w:hint="eastAsia"/>
        </w:rPr>
        <w:t xml:space="preserve">29. </w:t>
      </w:r>
      <w:r>
        <w:rPr>
          <w:rFonts w:hint="eastAsia"/>
        </w:rPr>
        <w:t>委員会は締約国に、</w:t>
      </w:r>
      <w:r w:rsidR="00215D9B">
        <w:rPr>
          <w:rFonts w:hint="eastAsia"/>
        </w:rPr>
        <w:t>障害、特に精神及び知的障害女性に、性と生殖の権利を制限し、強制不妊及び中絶を</w:t>
      </w:r>
      <w:r w:rsidR="00835AAC">
        <w:rPr>
          <w:rFonts w:hint="eastAsia"/>
        </w:rPr>
        <w:t>許す、保健法の条項、並びに条例及び関連する規則を</w:t>
      </w:r>
      <w:r w:rsidR="00150E38">
        <w:rPr>
          <w:rFonts w:hint="eastAsia"/>
        </w:rPr>
        <w:t>削除</w:t>
      </w:r>
      <w:r w:rsidR="00215D9B">
        <w:rPr>
          <w:rFonts w:hint="eastAsia"/>
        </w:rPr>
        <w:t>する</w:t>
      </w:r>
      <w:r w:rsidR="000375BA">
        <w:rPr>
          <w:rFonts w:hint="eastAsia"/>
        </w:rPr>
        <w:t>よう強く促す</w:t>
      </w:r>
      <w:r w:rsidR="00B5547D">
        <w:rPr>
          <w:rFonts w:hint="eastAsia"/>
        </w:rPr>
        <w:t>。</w:t>
      </w:r>
    </w:p>
    <w:p w14:paraId="49F6B4C1" w14:textId="77777777" w:rsidR="00B5547D" w:rsidRPr="00150E38" w:rsidRDefault="00B5547D" w:rsidP="004A005E">
      <w:pPr>
        <w:pStyle w:val="a3"/>
        <w:ind w:leftChars="0" w:left="440"/>
      </w:pPr>
    </w:p>
    <w:p w14:paraId="188136EB" w14:textId="77777777" w:rsidR="00B5547D" w:rsidRDefault="00150E38" w:rsidP="004A005E">
      <w:pPr>
        <w:pStyle w:val="a3"/>
        <w:ind w:leftChars="0" w:left="440"/>
      </w:pPr>
      <w:r>
        <w:rPr>
          <w:rFonts w:hint="eastAsia"/>
        </w:rPr>
        <w:t>自立した生活</w:t>
      </w:r>
      <w:r w:rsidR="00B5547D">
        <w:rPr>
          <w:rFonts w:hint="eastAsia"/>
        </w:rPr>
        <w:t>及び地域社会への</w:t>
      </w:r>
      <w:r>
        <w:rPr>
          <w:rFonts w:hint="eastAsia"/>
        </w:rPr>
        <w:t>包容（イ</w:t>
      </w:r>
      <w:r w:rsidR="00B5547D">
        <w:rPr>
          <w:rFonts w:hint="eastAsia"/>
        </w:rPr>
        <w:t>ンクルージョン</w:t>
      </w:r>
      <w:r>
        <w:rPr>
          <w:rFonts w:hint="eastAsia"/>
        </w:rPr>
        <w:t>）</w:t>
      </w:r>
      <w:r w:rsidR="00B5547D">
        <w:rPr>
          <w:rFonts w:hint="eastAsia"/>
        </w:rPr>
        <w:t>（第</w:t>
      </w:r>
      <w:r w:rsidR="00B5547D">
        <w:rPr>
          <w:rFonts w:hint="eastAsia"/>
        </w:rPr>
        <w:t>19</w:t>
      </w:r>
      <w:r w:rsidR="00B5547D">
        <w:rPr>
          <w:rFonts w:hint="eastAsia"/>
        </w:rPr>
        <w:t>条）</w:t>
      </w:r>
    </w:p>
    <w:p w14:paraId="302490F1" w14:textId="77777777" w:rsidR="00B5547D" w:rsidRDefault="000375BA" w:rsidP="004A005E">
      <w:pPr>
        <w:pStyle w:val="a3"/>
        <w:ind w:leftChars="0" w:left="440"/>
      </w:pPr>
      <w:r>
        <w:rPr>
          <w:rFonts w:hint="eastAsia"/>
        </w:rPr>
        <w:t>30</w:t>
      </w:r>
      <w:r w:rsidR="00B5547D">
        <w:rPr>
          <w:rFonts w:hint="eastAsia"/>
        </w:rPr>
        <w:t xml:space="preserve">. </w:t>
      </w:r>
      <w:r>
        <w:rPr>
          <w:rFonts w:hint="eastAsia"/>
        </w:rPr>
        <w:t>委員会は、条約の第</w:t>
      </w:r>
      <w:r>
        <w:rPr>
          <w:rFonts w:hint="eastAsia"/>
        </w:rPr>
        <w:t>19</w:t>
      </w:r>
      <w:r>
        <w:rPr>
          <w:rFonts w:hint="eastAsia"/>
        </w:rPr>
        <w:t>条に記されている、障害者が地</w:t>
      </w:r>
      <w:r w:rsidR="00150E38">
        <w:rPr>
          <w:rFonts w:hint="eastAsia"/>
        </w:rPr>
        <w:t>域で自立した生活を送ることを可能にすることを目的とした、社会支援</w:t>
      </w:r>
      <w:r>
        <w:rPr>
          <w:rFonts w:hint="eastAsia"/>
        </w:rPr>
        <w:t>プログラムが不足していることを懸念する。</w:t>
      </w:r>
    </w:p>
    <w:p w14:paraId="05D9308A" w14:textId="77777777" w:rsidR="00BB511D" w:rsidRDefault="000375BA" w:rsidP="004A005E">
      <w:pPr>
        <w:pStyle w:val="a3"/>
        <w:ind w:leftChars="0" w:left="440"/>
      </w:pPr>
      <w:r>
        <w:rPr>
          <w:rFonts w:hint="eastAsia"/>
        </w:rPr>
        <w:t>31</w:t>
      </w:r>
      <w:r w:rsidR="00BB511D">
        <w:t xml:space="preserve">. </w:t>
      </w:r>
      <w:r w:rsidR="00BB511D">
        <w:rPr>
          <w:rFonts w:hint="eastAsia"/>
        </w:rPr>
        <w:t>委員会は</w:t>
      </w:r>
      <w:r>
        <w:rPr>
          <w:rFonts w:hint="eastAsia"/>
        </w:rPr>
        <w:t>締約国に対し、障害者との協議のもと、家族の有無に関わらず、障害者への介助</w:t>
      </w:r>
      <w:r w:rsidR="00150E38">
        <w:rPr>
          <w:rFonts w:hint="eastAsia"/>
        </w:rPr>
        <w:t>者を含む支援措置を定めた</w:t>
      </w:r>
      <w:r>
        <w:rPr>
          <w:rFonts w:hint="eastAsia"/>
        </w:rPr>
        <w:t>、脱施設</w:t>
      </w:r>
      <w:r w:rsidR="00150E38">
        <w:rPr>
          <w:rFonts w:hint="eastAsia"/>
        </w:rPr>
        <w:t>化計画を作成す</w:t>
      </w:r>
      <w:r>
        <w:rPr>
          <w:rFonts w:hint="eastAsia"/>
        </w:rPr>
        <w:t>るよう勧告する</w:t>
      </w:r>
      <w:r w:rsidR="000F2CB2">
        <w:rPr>
          <w:rFonts w:hint="eastAsia"/>
        </w:rPr>
        <w:t>。</w:t>
      </w:r>
    </w:p>
    <w:p w14:paraId="7827E071" w14:textId="77777777" w:rsidR="000F2CB2" w:rsidRPr="00150E38" w:rsidRDefault="000F2CB2" w:rsidP="004A005E">
      <w:pPr>
        <w:pStyle w:val="a3"/>
        <w:ind w:leftChars="0" w:left="440"/>
      </w:pPr>
    </w:p>
    <w:p w14:paraId="2CDA45BD" w14:textId="77777777" w:rsidR="000375BA" w:rsidRDefault="000375BA" w:rsidP="004A005E">
      <w:pPr>
        <w:pStyle w:val="a3"/>
        <w:ind w:leftChars="0" w:left="440"/>
      </w:pPr>
      <w:r>
        <w:rPr>
          <w:rFonts w:hint="eastAsia"/>
        </w:rPr>
        <w:t>個人の移動</w:t>
      </w:r>
      <w:r w:rsidR="006E0F57">
        <w:rPr>
          <w:rFonts w:hint="eastAsia"/>
        </w:rPr>
        <w:t>を容易にすること</w:t>
      </w:r>
      <w:r>
        <w:rPr>
          <w:rFonts w:hint="eastAsia"/>
        </w:rPr>
        <w:t>（第</w:t>
      </w:r>
      <w:r>
        <w:rPr>
          <w:rFonts w:hint="eastAsia"/>
        </w:rPr>
        <w:t>20</w:t>
      </w:r>
      <w:r>
        <w:rPr>
          <w:rFonts w:hint="eastAsia"/>
        </w:rPr>
        <w:t>条）</w:t>
      </w:r>
    </w:p>
    <w:p w14:paraId="4CB232B6" w14:textId="13390337" w:rsidR="000375BA" w:rsidRDefault="000375BA" w:rsidP="004A005E">
      <w:pPr>
        <w:pStyle w:val="a3"/>
        <w:ind w:leftChars="0" w:left="440"/>
      </w:pPr>
      <w:r>
        <w:rPr>
          <w:rFonts w:hint="eastAsia"/>
        </w:rPr>
        <w:t xml:space="preserve">32. </w:t>
      </w:r>
      <w:r w:rsidR="00326B95">
        <w:rPr>
          <w:rFonts w:hint="eastAsia"/>
        </w:rPr>
        <w:t>委員会は、</w:t>
      </w:r>
      <w:r w:rsidR="000F6165">
        <w:rPr>
          <w:rFonts w:hint="eastAsia"/>
        </w:rPr>
        <w:t>助成金で得</w:t>
      </w:r>
      <w:r w:rsidR="005645C4">
        <w:rPr>
          <w:rFonts w:hint="eastAsia"/>
        </w:rPr>
        <w:t>られる</w:t>
      </w:r>
      <w:r w:rsidR="000F6165">
        <w:rPr>
          <w:rFonts w:hint="eastAsia"/>
        </w:rPr>
        <w:t>移動</w:t>
      </w:r>
      <w:r w:rsidR="00326B95">
        <w:rPr>
          <w:rFonts w:hint="eastAsia"/>
        </w:rPr>
        <w:t>と補助器具の質、及び</w:t>
      </w:r>
      <w:r>
        <w:rPr>
          <w:rFonts w:hint="eastAsia"/>
        </w:rPr>
        <w:t>助成金の額が市場価格を反映していないことを懸念する。</w:t>
      </w:r>
    </w:p>
    <w:p w14:paraId="6B503BCB" w14:textId="77777777" w:rsidR="000375BA" w:rsidRDefault="000375BA" w:rsidP="004A005E">
      <w:pPr>
        <w:pStyle w:val="a3"/>
        <w:ind w:leftChars="0" w:left="440"/>
      </w:pPr>
      <w:r>
        <w:rPr>
          <w:rFonts w:hint="eastAsia"/>
        </w:rPr>
        <w:t xml:space="preserve">33. </w:t>
      </w:r>
      <w:r>
        <w:rPr>
          <w:rFonts w:hint="eastAsia"/>
        </w:rPr>
        <w:t>委員会は、</w:t>
      </w:r>
      <w:r w:rsidR="00326B95">
        <w:rPr>
          <w:rFonts w:hint="eastAsia"/>
        </w:rPr>
        <w:t>助成金を増額することによって、修理と製造を含む、質の高い補助器具、技術、サービスが、</w:t>
      </w:r>
      <w:r>
        <w:rPr>
          <w:rFonts w:hint="eastAsia"/>
        </w:rPr>
        <w:t>障害者</w:t>
      </w:r>
      <w:r w:rsidR="00326B95">
        <w:rPr>
          <w:rFonts w:hint="eastAsia"/>
        </w:rPr>
        <w:t>にとって入手可能になり、</w:t>
      </w:r>
      <w:r>
        <w:rPr>
          <w:rFonts w:hint="eastAsia"/>
        </w:rPr>
        <w:t>それについて自分</w:t>
      </w:r>
      <w:r w:rsidR="00326B95">
        <w:rPr>
          <w:rFonts w:hint="eastAsia"/>
        </w:rPr>
        <w:t>で</w:t>
      </w:r>
      <w:r>
        <w:rPr>
          <w:rFonts w:hint="eastAsia"/>
        </w:rPr>
        <w:t>選択する</w:t>
      </w:r>
      <w:r w:rsidR="00326B95">
        <w:rPr>
          <w:rFonts w:hint="eastAsia"/>
        </w:rPr>
        <w:t>ことが</w:t>
      </w:r>
      <w:r>
        <w:rPr>
          <w:rFonts w:hint="eastAsia"/>
        </w:rPr>
        <w:t>許されるようになることを勧告する。</w:t>
      </w:r>
    </w:p>
    <w:p w14:paraId="0012C61F" w14:textId="77777777" w:rsidR="000375BA" w:rsidRPr="00326B95" w:rsidRDefault="000375BA" w:rsidP="004A005E">
      <w:pPr>
        <w:pStyle w:val="a3"/>
        <w:ind w:leftChars="0" w:left="440"/>
      </w:pPr>
    </w:p>
    <w:p w14:paraId="6B4751F9" w14:textId="77777777" w:rsidR="000375BA" w:rsidRDefault="000375BA" w:rsidP="004A005E">
      <w:pPr>
        <w:pStyle w:val="a3"/>
        <w:ind w:leftChars="0" w:left="440"/>
      </w:pPr>
      <w:r>
        <w:rPr>
          <w:rFonts w:hint="eastAsia"/>
        </w:rPr>
        <w:t>家庭及び家族の尊重（第</w:t>
      </w:r>
      <w:r>
        <w:rPr>
          <w:rFonts w:hint="eastAsia"/>
        </w:rPr>
        <w:t>23</w:t>
      </w:r>
      <w:r>
        <w:rPr>
          <w:rFonts w:hint="eastAsia"/>
        </w:rPr>
        <w:t>条）</w:t>
      </w:r>
    </w:p>
    <w:p w14:paraId="2A20BEF0" w14:textId="4EB214C4" w:rsidR="000375BA" w:rsidRDefault="00925668" w:rsidP="004A005E">
      <w:pPr>
        <w:pStyle w:val="a3"/>
        <w:ind w:leftChars="0" w:left="440"/>
      </w:pPr>
      <w:r>
        <w:rPr>
          <w:rFonts w:hint="eastAsia"/>
        </w:rPr>
        <w:t xml:space="preserve">34. </w:t>
      </w:r>
      <w:r>
        <w:rPr>
          <w:rFonts w:hint="eastAsia"/>
        </w:rPr>
        <w:t>委員会は締約国が、養子縁組へのアクセスを含み、障害者が自分の息子や娘</w:t>
      </w:r>
      <w:r w:rsidR="006B73AD">
        <w:rPr>
          <w:rFonts w:hint="eastAsia"/>
        </w:rPr>
        <w:t>を後見することについて</w:t>
      </w:r>
      <w:r>
        <w:rPr>
          <w:rFonts w:hint="eastAsia"/>
        </w:rPr>
        <w:t>、彼らの権利と責任を保証してい</w:t>
      </w:r>
      <w:r w:rsidR="00D3065F">
        <w:rPr>
          <w:rFonts w:hint="eastAsia"/>
        </w:rPr>
        <w:t>ないことを懸念する。また、</w:t>
      </w:r>
      <w:r w:rsidR="000F6165">
        <w:rPr>
          <w:rFonts w:hint="eastAsia"/>
        </w:rPr>
        <w:t>委員会は締約国が、障害者が自分達の子供を育てる責任をはたすために</w:t>
      </w:r>
      <w:r>
        <w:rPr>
          <w:rFonts w:hint="eastAsia"/>
        </w:rPr>
        <w:t>適切な支援を与えていないことも留意する。</w:t>
      </w:r>
    </w:p>
    <w:p w14:paraId="4549B9A8" w14:textId="77777777" w:rsidR="000375BA" w:rsidRDefault="00925668" w:rsidP="004A005E">
      <w:pPr>
        <w:pStyle w:val="a3"/>
        <w:ind w:leftChars="0" w:left="440"/>
      </w:pPr>
      <w:r>
        <w:rPr>
          <w:rFonts w:hint="eastAsia"/>
        </w:rPr>
        <w:t xml:space="preserve">35. </w:t>
      </w:r>
      <w:r w:rsidR="00D3065F">
        <w:rPr>
          <w:rFonts w:hint="eastAsia"/>
        </w:rPr>
        <w:t>委員会は</w:t>
      </w:r>
      <w:r>
        <w:rPr>
          <w:rFonts w:hint="eastAsia"/>
        </w:rPr>
        <w:t>締約国に</w:t>
      </w:r>
      <w:r w:rsidR="00D3065F">
        <w:rPr>
          <w:rFonts w:hint="eastAsia"/>
        </w:rPr>
        <w:t>、</w:t>
      </w:r>
      <w:r>
        <w:rPr>
          <w:rFonts w:hint="eastAsia"/>
        </w:rPr>
        <w:t>障害者が養子縁組を含む</w:t>
      </w:r>
      <w:r w:rsidR="00D3065F">
        <w:rPr>
          <w:rFonts w:hint="eastAsia"/>
        </w:rPr>
        <w:t>自らの</w:t>
      </w:r>
      <w:r>
        <w:rPr>
          <w:rFonts w:hint="eastAsia"/>
        </w:rPr>
        <w:t>親権を行使することを</w:t>
      </w:r>
      <w:r w:rsidR="00D3065F">
        <w:rPr>
          <w:rFonts w:hint="eastAsia"/>
        </w:rPr>
        <w:t>妨げるすべ</w:t>
      </w:r>
      <w:r>
        <w:rPr>
          <w:rFonts w:hint="eastAsia"/>
        </w:rPr>
        <w:t>ての法律を見直し廃止し、障害者が子どもを養育する責任を</w:t>
      </w:r>
      <w:r w:rsidR="00D3065F">
        <w:rPr>
          <w:rFonts w:hint="eastAsia"/>
        </w:rPr>
        <w:t>はたせる</w:t>
      </w:r>
      <w:r>
        <w:rPr>
          <w:rFonts w:hint="eastAsia"/>
        </w:rPr>
        <w:t>よう適切な支援を提供することを強く促す。</w:t>
      </w:r>
    </w:p>
    <w:p w14:paraId="38642BE9" w14:textId="77777777" w:rsidR="00925668" w:rsidRPr="00D3065F" w:rsidRDefault="00925668" w:rsidP="004A005E">
      <w:pPr>
        <w:pStyle w:val="a3"/>
        <w:ind w:leftChars="0" w:left="440"/>
      </w:pPr>
    </w:p>
    <w:p w14:paraId="75F5673A" w14:textId="77777777" w:rsidR="0030614D" w:rsidRDefault="0030614D" w:rsidP="004A005E">
      <w:pPr>
        <w:pStyle w:val="a3"/>
        <w:ind w:leftChars="0" w:left="440"/>
      </w:pPr>
      <w:r>
        <w:rPr>
          <w:rFonts w:hint="eastAsia"/>
        </w:rPr>
        <w:t>教育（第</w:t>
      </w:r>
      <w:r>
        <w:rPr>
          <w:rFonts w:hint="eastAsia"/>
        </w:rPr>
        <w:t>24</w:t>
      </w:r>
      <w:r>
        <w:rPr>
          <w:rFonts w:hint="eastAsia"/>
        </w:rPr>
        <w:t>条）</w:t>
      </w:r>
    </w:p>
    <w:p w14:paraId="62861740" w14:textId="7EA2D70D" w:rsidR="0030614D" w:rsidRDefault="00925668" w:rsidP="004A005E">
      <w:pPr>
        <w:pStyle w:val="a3"/>
        <w:ind w:leftChars="0" w:left="440"/>
      </w:pPr>
      <w:r>
        <w:rPr>
          <w:rFonts w:hint="eastAsia"/>
        </w:rPr>
        <w:t>36</w:t>
      </w:r>
      <w:r w:rsidR="0030614D">
        <w:rPr>
          <w:rFonts w:hint="eastAsia"/>
        </w:rPr>
        <w:t xml:space="preserve">. </w:t>
      </w:r>
      <w:r w:rsidR="00D3065F">
        <w:rPr>
          <w:rFonts w:hint="eastAsia"/>
        </w:rPr>
        <w:t>委員会は、障害児</w:t>
      </w:r>
      <w:r>
        <w:rPr>
          <w:rFonts w:hint="eastAsia"/>
        </w:rPr>
        <w:t>教育のトレーニングを受けた教員の数が</w:t>
      </w:r>
      <w:r w:rsidR="00B54DAB">
        <w:rPr>
          <w:rFonts w:hint="eastAsia"/>
        </w:rPr>
        <w:t>いま</w:t>
      </w:r>
      <w:r w:rsidR="005645C4">
        <w:rPr>
          <w:rFonts w:hint="eastAsia"/>
        </w:rPr>
        <w:t>だ少ない</w:t>
      </w:r>
      <w:r>
        <w:rPr>
          <w:rFonts w:hint="eastAsia"/>
        </w:rPr>
        <w:t>ことを懸念する。委員会は、教育法及び</w:t>
      </w:r>
      <w:r w:rsidRPr="00B54DAB">
        <w:rPr>
          <w:rFonts w:hint="eastAsia"/>
        </w:rPr>
        <w:t>モンゴルにおける教育発展のための基本計画（</w:t>
      </w:r>
      <w:r w:rsidRPr="00B54DAB">
        <w:rPr>
          <w:rFonts w:hint="eastAsia"/>
        </w:rPr>
        <w:t>2006</w:t>
      </w:r>
      <w:r w:rsidRPr="00B54DAB">
        <w:rPr>
          <w:rFonts w:hint="eastAsia"/>
        </w:rPr>
        <w:t>～</w:t>
      </w:r>
      <w:r w:rsidRPr="00B54DAB">
        <w:rPr>
          <w:rFonts w:hint="eastAsia"/>
        </w:rPr>
        <w:t>2015</w:t>
      </w:r>
      <w:r w:rsidRPr="00B54DAB">
        <w:rPr>
          <w:rFonts w:hint="eastAsia"/>
        </w:rPr>
        <w:t>年）</w:t>
      </w:r>
      <w:r w:rsidR="00B54DAB">
        <w:rPr>
          <w:rFonts w:hint="eastAsia"/>
        </w:rPr>
        <w:t>などの</w:t>
      </w:r>
      <w:r>
        <w:rPr>
          <w:rFonts w:hint="eastAsia"/>
        </w:rPr>
        <w:t>イニシアティブ</w:t>
      </w:r>
      <w:r w:rsidR="006F1C18">
        <w:rPr>
          <w:rFonts w:hint="eastAsia"/>
        </w:rPr>
        <w:t>を実行</w:t>
      </w:r>
      <w:r w:rsidR="006B73AD">
        <w:rPr>
          <w:rFonts w:hint="eastAsia"/>
        </w:rPr>
        <w:t>するにあたり、インクルーシブな教育制度</w:t>
      </w:r>
      <w:r w:rsidR="00B54DAB">
        <w:rPr>
          <w:rFonts w:hint="eastAsia"/>
        </w:rPr>
        <w:t>を保証するための特定の措置</w:t>
      </w:r>
      <w:r w:rsidR="006F1C18">
        <w:rPr>
          <w:rFonts w:hint="eastAsia"/>
        </w:rPr>
        <w:t>がないことも懸念する。</w:t>
      </w:r>
    </w:p>
    <w:p w14:paraId="4D36E3C4" w14:textId="6287AEAA" w:rsidR="006F1C18" w:rsidRDefault="006F1C18" w:rsidP="006F1C18">
      <w:pPr>
        <w:pStyle w:val="a3"/>
        <w:ind w:leftChars="0" w:left="440"/>
      </w:pPr>
      <w:r>
        <w:rPr>
          <w:rFonts w:hint="eastAsia"/>
        </w:rPr>
        <w:t>37</w:t>
      </w:r>
      <w:r w:rsidR="00313008">
        <w:rPr>
          <w:rFonts w:hint="eastAsia"/>
        </w:rPr>
        <w:t xml:space="preserve">. </w:t>
      </w:r>
      <w:r w:rsidR="009F45B5">
        <w:rPr>
          <w:rFonts w:hint="eastAsia"/>
        </w:rPr>
        <w:t>委員会は締約国に、障害児教育を教員のトレーニング教材の義務的部分とし、この内容について上級</w:t>
      </w:r>
      <w:r>
        <w:rPr>
          <w:rFonts w:hint="eastAsia"/>
        </w:rPr>
        <w:t>トレーニングを受ける</w:t>
      </w:r>
      <w:r w:rsidR="009F45B5">
        <w:rPr>
          <w:rFonts w:hint="eastAsia"/>
        </w:rPr>
        <w:t>選択肢</w:t>
      </w:r>
      <w:r>
        <w:rPr>
          <w:rFonts w:hint="eastAsia"/>
        </w:rPr>
        <w:t>を提供することを検討するよう勧告する。また委員会は締約国に、</w:t>
      </w:r>
      <w:r w:rsidR="009F45B5">
        <w:rPr>
          <w:rFonts w:hint="eastAsia"/>
        </w:rPr>
        <w:t>すべての</w:t>
      </w:r>
      <w:r>
        <w:rPr>
          <w:rFonts w:hint="eastAsia"/>
        </w:rPr>
        <w:t>障害</w:t>
      </w:r>
      <w:r w:rsidR="009F45B5">
        <w:rPr>
          <w:rFonts w:hint="eastAsia"/>
        </w:rPr>
        <w:t>児</w:t>
      </w:r>
      <w:r w:rsidR="00753447">
        <w:rPr>
          <w:rFonts w:hint="eastAsia"/>
        </w:rPr>
        <w:t>に彼らの</w:t>
      </w:r>
      <w:r>
        <w:rPr>
          <w:rFonts w:hint="eastAsia"/>
        </w:rPr>
        <w:t>地元で質の高いインクルー</w:t>
      </w:r>
      <w:r w:rsidR="009F45B5">
        <w:rPr>
          <w:rFonts w:hint="eastAsia"/>
        </w:rPr>
        <w:t>シブ</w:t>
      </w:r>
      <w:r w:rsidR="00753447">
        <w:rPr>
          <w:rFonts w:hint="eastAsia"/>
        </w:rPr>
        <w:t>教育の提供を</w:t>
      </w:r>
      <w:r w:rsidR="009F45B5">
        <w:rPr>
          <w:rFonts w:hint="eastAsia"/>
        </w:rPr>
        <w:t>保証することを目的とした、インクルーシブ</w:t>
      </w:r>
      <w:r>
        <w:rPr>
          <w:rFonts w:hint="eastAsia"/>
        </w:rPr>
        <w:t>教育システムの実施のために、特定の政策やプログラムを作り、予算を割り当てることを勧告する</w:t>
      </w:r>
      <w:r w:rsidR="009B5FF7">
        <w:rPr>
          <w:rFonts w:hint="eastAsia"/>
        </w:rPr>
        <w:t>。</w:t>
      </w:r>
      <w:r w:rsidR="00753447">
        <w:rPr>
          <w:rFonts w:hint="eastAsia"/>
        </w:rPr>
        <w:t>そうするにあたり</w:t>
      </w:r>
      <w:r>
        <w:rPr>
          <w:rFonts w:hint="eastAsia"/>
        </w:rPr>
        <w:t>、締約国は対象となる障害児の障害が「軽度」</w:t>
      </w:r>
      <w:r w:rsidR="00753447">
        <w:rPr>
          <w:rFonts w:hint="eastAsia"/>
        </w:rPr>
        <w:t>か</w:t>
      </w:r>
      <w:r>
        <w:rPr>
          <w:rFonts w:hint="eastAsia"/>
        </w:rPr>
        <w:t>「重度」かアセスメントするべきではない。</w:t>
      </w:r>
    </w:p>
    <w:p w14:paraId="4DCCB729" w14:textId="77777777" w:rsidR="009B5FF7" w:rsidRPr="00BA2E68" w:rsidRDefault="009B5FF7" w:rsidP="004A005E">
      <w:pPr>
        <w:pStyle w:val="a3"/>
        <w:ind w:leftChars="0" w:left="440"/>
      </w:pPr>
    </w:p>
    <w:p w14:paraId="419B7B62" w14:textId="77777777" w:rsidR="009B5FF7" w:rsidRDefault="006F1C18" w:rsidP="004A005E">
      <w:pPr>
        <w:pStyle w:val="a3"/>
        <w:ind w:leftChars="0" w:left="440"/>
      </w:pPr>
      <w:r>
        <w:rPr>
          <w:rFonts w:hint="eastAsia"/>
        </w:rPr>
        <w:t>健康とリハビリテーション</w:t>
      </w:r>
      <w:r w:rsidR="009B5FF7">
        <w:rPr>
          <w:rFonts w:hint="eastAsia"/>
        </w:rPr>
        <w:t>（第</w:t>
      </w:r>
      <w:r w:rsidR="009B5FF7">
        <w:rPr>
          <w:rFonts w:hint="eastAsia"/>
        </w:rPr>
        <w:t>25</w:t>
      </w:r>
      <w:r w:rsidR="009B5FF7">
        <w:rPr>
          <w:rFonts w:hint="eastAsia"/>
        </w:rPr>
        <w:t>条</w:t>
      </w:r>
      <w:r>
        <w:rPr>
          <w:rFonts w:hint="eastAsia"/>
        </w:rPr>
        <w:t>と</w:t>
      </w:r>
      <w:r>
        <w:rPr>
          <w:rFonts w:hint="eastAsia"/>
        </w:rPr>
        <w:t>26</w:t>
      </w:r>
      <w:r>
        <w:rPr>
          <w:rFonts w:hint="eastAsia"/>
        </w:rPr>
        <w:t>条</w:t>
      </w:r>
      <w:r w:rsidR="009B5FF7">
        <w:rPr>
          <w:rFonts w:hint="eastAsia"/>
        </w:rPr>
        <w:t>）</w:t>
      </w:r>
    </w:p>
    <w:p w14:paraId="04D93021" w14:textId="77777777" w:rsidR="009B5FF7" w:rsidRDefault="006F1C18" w:rsidP="004A005E">
      <w:pPr>
        <w:pStyle w:val="a3"/>
        <w:ind w:leftChars="0" w:left="440"/>
      </w:pPr>
      <w:r>
        <w:rPr>
          <w:rFonts w:hint="eastAsia"/>
        </w:rPr>
        <w:t>38</w:t>
      </w:r>
      <w:r w:rsidR="009B5FF7">
        <w:rPr>
          <w:rFonts w:hint="eastAsia"/>
        </w:rPr>
        <w:t xml:space="preserve">. </w:t>
      </w:r>
      <w:r w:rsidR="009B5FF7">
        <w:rPr>
          <w:rFonts w:hint="eastAsia"/>
        </w:rPr>
        <w:t>委員会は、</w:t>
      </w:r>
      <w:r>
        <w:rPr>
          <w:rFonts w:hint="eastAsia"/>
        </w:rPr>
        <w:t>障害者が性と生殖の保健へのアクセ</w:t>
      </w:r>
      <w:r w:rsidR="00BB04D3">
        <w:rPr>
          <w:rFonts w:hint="eastAsia"/>
        </w:rPr>
        <w:t>スを含む、包括的な保健とリハビリテーションサービスへのアクセスに</w:t>
      </w:r>
      <w:r>
        <w:rPr>
          <w:rFonts w:hint="eastAsia"/>
        </w:rPr>
        <w:t>、特に農村地や遠隔地において制限されていることを懸念する。また委員会は、締約国の保健に関する法律のもとで、すべての障害者が自由な同意及びインフォームドコンセントを</w:t>
      </w:r>
      <w:r w:rsidR="00943D10">
        <w:rPr>
          <w:rFonts w:hint="eastAsia"/>
        </w:rPr>
        <w:t>行使</w:t>
      </w:r>
      <w:r>
        <w:rPr>
          <w:rFonts w:hint="eastAsia"/>
        </w:rPr>
        <w:t>できていないことを懸念する。</w:t>
      </w:r>
    </w:p>
    <w:p w14:paraId="1B180715" w14:textId="6DAD79F7" w:rsidR="00244A50" w:rsidRDefault="00943D10" w:rsidP="004A005E">
      <w:pPr>
        <w:pStyle w:val="a3"/>
        <w:ind w:leftChars="0" w:left="440"/>
      </w:pPr>
      <w:r>
        <w:rPr>
          <w:rFonts w:hint="eastAsia"/>
        </w:rPr>
        <w:t>39</w:t>
      </w:r>
      <w:r w:rsidR="00244A50">
        <w:rPr>
          <w:rFonts w:hint="eastAsia"/>
        </w:rPr>
        <w:t xml:space="preserve">. </w:t>
      </w:r>
      <w:r w:rsidR="00244A50">
        <w:rPr>
          <w:rFonts w:hint="eastAsia"/>
        </w:rPr>
        <w:t>委員会は</w:t>
      </w:r>
      <w:r w:rsidR="005523CA">
        <w:rPr>
          <w:rFonts w:hint="eastAsia"/>
        </w:rPr>
        <w:t>締約国に、障害者が保健サービス、特に性と生殖の保健サービス</w:t>
      </w:r>
      <w:r w:rsidR="00BA2E68">
        <w:rPr>
          <w:rFonts w:hint="eastAsia"/>
        </w:rPr>
        <w:t>、母子保健サービス、精神サービス、及び農村地と遠隔地においては</w:t>
      </w:r>
      <w:r w:rsidR="005523CA">
        <w:rPr>
          <w:rFonts w:hint="eastAsia"/>
        </w:rPr>
        <w:t>包括的で地域に根ざしたリハビリテーションサービスに</w:t>
      </w:r>
      <w:r w:rsidR="00BB04D3">
        <w:rPr>
          <w:rFonts w:hint="eastAsia"/>
        </w:rPr>
        <w:t>、財務</w:t>
      </w:r>
      <w:r w:rsidR="005523CA">
        <w:rPr>
          <w:rFonts w:hint="eastAsia"/>
        </w:rPr>
        <w:t>的制約なくアクセスできることを保証す</w:t>
      </w:r>
      <w:r w:rsidR="00BB04D3">
        <w:rPr>
          <w:rFonts w:hint="eastAsia"/>
        </w:rPr>
        <w:t>る措置をとることを勧告する。また委員会は、障害のあるすべての人に</w:t>
      </w:r>
      <w:r w:rsidR="005523CA">
        <w:rPr>
          <w:rFonts w:hint="eastAsia"/>
        </w:rPr>
        <w:t>、その損傷</w:t>
      </w:r>
      <w:r w:rsidR="00F267F8">
        <w:rPr>
          <w:rFonts w:hint="eastAsia"/>
        </w:rPr>
        <w:t>の性質</w:t>
      </w:r>
      <w:r w:rsidR="00BB04D3">
        <w:rPr>
          <w:rFonts w:hint="eastAsia"/>
        </w:rPr>
        <w:t>に関わらず、自由な同意とインフォームドコンセントへの権利を</w:t>
      </w:r>
      <w:r w:rsidR="005523CA">
        <w:rPr>
          <w:rFonts w:hint="eastAsia"/>
        </w:rPr>
        <w:t>保証</w:t>
      </w:r>
      <w:r w:rsidR="00BB04D3">
        <w:rPr>
          <w:rFonts w:hint="eastAsia"/>
        </w:rPr>
        <w:t>す</w:t>
      </w:r>
      <w:r w:rsidR="005523CA">
        <w:rPr>
          <w:rFonts w:hint="eastAsia"/>
        </w:rPr>
        <w:t>ることを勧告する。</w:t>
      </w:r>
    </w:p>
    <w:p w14:paraId="03D460BD" w14:textId="77777777" w:rsidR="00244A50" w:rsidRDefault="00244A50" w:rsidP="004A005E">
      <w:pPr>
        <w:pStyle w:val="a3"/>
        <w:ind w:leftChars="0" w:left="440"/>
      </w:pPr>
    </w:p>
    <w:p w14:paraId="058FD74E" w14:textId="77777777" w:rsidR="00244A50" w:rsidRDefault="00244A50" w:rsidP="004A005E">
      <w:pPr>
        <w:pStyle w:val="a3"/>
        <w:ind w:leftChars="0" w:left="440"/>
      </w:pPr>
      <w:r>
        <w:rPr>
          <w:rFonts w:hint="eastAsia"/>
        </w:rPr>
        <w:t>労働及び雇用（第</w:t>
      </w:r>
      <w:r>
        <w:rPr>
          <w:rFonts w:hint="eastAsia"/>
        </w:rPr>
        <w:t>27</w:t>
      </w:r>
      <w:r>
        <w:rPr>
          <w:rFonts w:hint="eastAsia"/>
        </w:rPr>
        <w:t>条）</w:t>
      </w:r>
    </w:p>
    <w:p w14:paraId="7A4377FD" w14:textId="2B8F90BE" w:rsidR="00244A50" w:rsidRDefault="005523CA" w:rsidP="00A2196D">
      <w:pPr>
        <w:pStyle w:val="a3"/>
        <w:ind w:leftChars="0" w:left="440"/>
      </w:pPr>
      <w:r>
        <w:rPr>
          <w:rFonts w:hint="eastAsia"/>
        </w:rPr>
        <w:t>40</w:t>
      </w:r>
      <w:r w:rsidR="00244A50">
        <w:rPr>
          <w:rFonts w:hint="eastAsia"/>
        </w:rPr>
        <w:t xml:space="preserve">. </w:t>
      </w:r>
      <w:r w:rsidR="00244A50">
        <w:rPr>
          <w:rFonts w:hint="eastAsia"/>
        </w:rPr>
        <w:t>委員会は</w:t>
      </w:r>
      <w:r w:rsidR="00A2196D">
        <w:rPr>
          <w:rFonts w:hint="eastAsia"/>
        </w:rPr>
        <w:t>、職員数</w:t>
      </w:r>
      <w:r w:rsidR="00A2196D">
        <w:rPr>
          <w:rFonts w:hint="eastAsia"/>
        </w:rPr>
        <w:t>25</w:t>
      </w:r>
      <w:r w:rsidR="00930FB0">
        <w:rPr>
          <w:rFonts w:hint="eastAsia"/>
        </w:rPr>
        <w:t>人以上の公共</w:t>
      </w:r>
      <w:r w:rsidR="00A2196D">
        <w:rPr>
          <w:rFonts w:hint="eastAsia"/>
        </w:rPr>
        <w:t>及び民間</w:t>
      </w:r>
      <w:r w:rsidR="00930FB0">
        <w:rPr>
          <w:rFonts w:hint="eastAsia"/>
        </w:rPr>
        <w:t>団体</w:t>
      </w:r>
      <w:r w:rsidR="00A2196D">
        <w:rPr>
          <w:rFonts w:hint="eastAsia"/>
        </w:rPr>
        <w:t>において、職員の</w:t>
      </w:r>
      <w:r w:rsidR="00A2196D">
        <w:rPr>
          <w:rFonts w:hint="eastAsia"/>
        </w:rPr>
        <w:t>4</w:t>
      </w:r>
      <w:r w:rsidR="00A2196D">
        <w:rPr>
          <w:rFonts w:hint="eastAsia"/>
        </w:rPr>
        <w:t>％は障害者でなければならないという法的要件に遵守しない場合の処罰が釣り合っておらず、その結果そのような</w:t>
      </w:r>
      <w:r w:rsidR="00930FB0">
        <w:rPr>
          <w:rFonts w:hint="eastAsia"/>
        </w:rPr>
        <w:t>団体の大多数が障害者を雇用するよりは、不履行による</w:t>
      </w:r>
      <w:r w:rsidR="00A2196D">
        <w:rPr>
          <w:rFonts w:hint="eastAsia"/>
        </w:rPr>
        <w:t>低い罰金を払うことを選んでいることを懸</w:t>
      </w:r>
      <w:r w:rsidR="00930FB0">
        <w:rPr>
          <w:rFonts w:hint="eastAsia"/>
        </w:rPr>
        <w:t>念する。さらに委員会は、障害者の</w:t>
      </w:r>
      <w:r w:rsidR="00A2196D">
        <w:rPr>
          <w:rFonts w:hint="eastAsia"/>
        </w:rPr>
        <w:t>最長労働時間</w:t>
      </w:r>
      <w:r w:rsidR="00930FB0">
        <w:rPr>
          <w:rFonts w:hint="eastAsia"/>
        </w:rPr>
        <w:t>が週</w:t>
      </w:r>
      <w:r w:rsidR="00A2196D">
        <w:rPr>
          <w:rFonts w:hint="eastAsia"/>
        </w:rPr>
        <w:t>36</w:t>
      </w:r>
      <w:r w:rsidR="00930FB0">
        <w:rPr>
          <w:rFonts w:hint="eastAsia"/>
        </w:rPr>
        <w:t>時間と法律で制限され</w:t>
      </w:r>
      <w:r w:rsidR="00A2196D">
        <w:rPr>
          <w:rFonts w:hint="eastAsia"/>
        </w:rPr>
        <w:t>ていることは、</w:t>
      </w:r>
      <w:r w:rsidR="00AD49DD">
        <w:rPr>
          <w:rFonts w:hint="eastAsia"/>
        </w:rPr>
        <w:t>障害者の雇用を妨げている</w:t>
      </w:r>
      <w:r w:rsidR="00A2196D">
        <w:rPr>
          <w:rFonts w:hint="eastAsia"/>
        </w:rPr>
        <w:t>のではないかと懸念する</w:t>
      </w:r>
      <w:r w:rsidR="00244A50">
        <w:rPr>
          <w:rFonts w:hint="eastAsia"/>
        </w:rPr>
        <w:t>。</w:t>
      </w:r>
    </w:p>
    <w:p w14:paraId="095F2F02" w14:textId="77777777" w:rsidR="00244A50" w:rsidRDefault="00A2196D" w:rsidP="004A005E">
      <w:pPr>
        <w:pStyle w:val="a3"/>
        <w:ind w:leftChars="0" w:left="440"/>
      </w:pPr>
      <w:r>
        <w:rPr>
          <w:rFonts w:hint="eastAsia"/>
        </w:rPr>
        <w:t>41</w:t>
      </w:r>
      <w:r w:rsidR="00244A50">
        <w:rPr>
          <w:rFonts w:hint="eastAsia"/>
        </w:rPr>
        <w:t xml:space="preserve">. </w:t>
      </w:r>
      <w:r w:rsidR="00244A50">
        <w:rPr>
          <w:rFonts w:hint="eastAsia"/>
        </w:rPr>
        <w:t>委員会は</w:t>
      </w:r>
      <w:r>
        <w:rPr>
          <w:rFonts w:hint="eastAsia"/>
        </w:rPr>
        <w:t>締約国に、職員を</w:t>
      </w:r>
      <w:r>
        <w:rPr>
          <w:rFonts w:hint="eastAsia"/>
        </w:rPr>
        <w:t>25</w:t>
      </w:r>
      <w:r>
        <w:rPr>
          <w:rFonts w:hint="eastAsia"/>
        </w:rPr>
        <w:t>人以上雇用している</w:t>
      </w:r>
      <w:r w:rsidR="00AD49DD">
        <w:rPr>
          <w:rFonts w:hint="eastAsia"/>
        </w:rPr>
        <w:t>団体</w:t>
      </w:r>
      <w:r>
        <w:rPr>
          <w:rFonts w:hint="eastAsia"/>
        </w:rPr>
        <w:t>で</w:t>
      </w:r>
      <w:r w:rsidR="00AD49DD">
        <w:rPr>
          <w:rFonts w:hint="eastAsia"/>
        </w:rPr>
        <w:t>はその</w:t>
      </w:r>
      <w:r>
        <w:rPr>
          <w:rFonts w:hint="eastAsia"/>
        </w:rPr>
        <w:t>4</w:t>
      </w:r>
      <w:r>
        <w:rPr>
          <w:rFonts w:hint="eastAsia"/>
        </w:rPr>
        <w:t>％</w:t>
      </w:r>
      <w:r w:rsidR="00AD49DD">
        <w:rPr>
          <w:rFonts w:hint="eastAsia"/>
        </w:rPr>
        <w:t>は</w:t>
      </w:r>
      <w:r>
        <w:rPr>
          <w:rFonts w:hint="eastAsia"/>
        </w:rPr>
        <w:t>障害者</w:t>
      </w:r>
      <w:r w:rsidR="00AD49DD">
        <w:rPr>
          <w:rFonts w:hint="eastAsia"/>
        </w:rPr>
        <w:t>を雇用すべきという要件を実施</w:t>
      </w:r>
      <w:r w:rsidR="00DB55E9">
        <w:rPr>
          <w:rFonts w:hint="eastAsia"/>
        </w:rPr>
        <w:t>する</w:t>
      </w:r>
      <w:r w:rsidR="00AD49DD">
        <w:rPr>
          <w:rFonts w:hint="eastAsia"/>
        </w:rPr>
        <w:t>ための</w:t>
      </w:r>
      <w:r w:rsidR="00DB55E9">
        <w:rPr>
          <w:rFonts w:hint="eastAsia"/>
        </w:rPr>
        <w:t>現在のシステムを見直すことを勧告する。そ</w:t>
      </w:r>
      <w:r w:rsidR="00AD49DD">
        <w:rPr>
          <w:rFonts w:hint="eastAsia"/>
        </w:rPr>
        <w:t>の際、締約国は割り当て不履行の</w:t>
      </w:r>
      <w:r w:rsidR="00DB55E9">
        <w:rPr>
          <w:rFonts w:hint="eastAsia"/>
        </w:rPr>
        <w:t>場合</w:t>
      </w:r>
      <w:r w:rsidR="00AD49DD">
        <w:rPr>
          <w:rFonts w:hint="eastAsia"/>
        </w:rPr>
        <w:t>の</w:t>
      </w:r>
      <w:r w:rsidR="00DB55E9">
        <w:rPr>
          <w:rFonts w:hint="eastAsia"/>
        </w:rPr>
        <w:t>罰金を</w:t>
      </w:r>
      <w:r w:rsidR="00AD49DD">
        <w:rPr>
          <w:rFonts w:hint="eastAsia"/>
        </w:rPr>
        <w:t>増額</w:t>
      </w:r>
      <w:r w:rsidR="00DB55E9">
        <w:rPr>
          <w:rFonts w:hint="eastAsia"/>
        </w:rPr>
        <w:t>させることを検討するべきである。さらに、委員会は締約国が、割り当て制度を監視し、新しい障害者雇用政策を</w:t>
      </w:r>
      <w:r w:rsidR="00AD49DD">
        <w:rPr>
          <w:rFonts w:hint="eastAsia"/>
        </w:rPr>
        <w:t>作成する</w:t>
      </w:r>
      <w:r w:rsidR="00DB55E9">
        <w:rPr>
          <w:rFonts w:hint="eastAsia"/>
        </w:rPr>
        <w:t>など、他の法的措置を強化しながら、障害者の</w:t>
      </w:r>
      <w:r w:rsidR="00AD49DD">
        <w:rPr>
          <w:rFonts w:hint="eastAsia"/>
        </w:rPr>
        <w:t>雇用の可能性を改善するために、職業能力を向上させる手段を採用す</w:t>
      </w:r>
      <w:r w:rsidR="00DB55E9">
        <w:rPr>
          <w:rFonts w:hint="eastAsia"/>
        </w:rPr>
        <w:t>ることを勧告する。</w:t>
      </w:r>
    </w:p>
    <w:p w14:paraId="239B0A37" w14:textId="77777777" w:rsidR="00244A50" w:rsidRPr="00266E8D" w:rsidRDefault="00244A50" w:rsidP="004A005E">
      <w:pPr>
        <w:pStyle w:val="a3"/>
        <w:ind w:leftChars="0" w:left="440"/>
      </w:pPr>
    </w:p>
    <w:p w14:paraId="0DE39316" w14:textId="77777777" w:rsidR="00244A50" w:rsidRDefault="00244A50" w:rsidP="004A005E">
      <w:pPr>
        <w:pStyle w:val="a3"/>
        <w:ind w:leftChars="0" w:left="440"/>
      </w:pPr>
      <w:r>
        <w:rPr>
          <w:rFonts w:hint="eastAsia"/>
        </w:rPr>
        <w:t>適切な生活水準及び社会保護（第</w:t>
      </w:r>
      <w:r>
        <w:rPr>
          <w:rFonts w:hint="eastAsia"/>
        </w:rPr>
        <w:t>28</w:t>
      </w:r>
      <w:r>
        <w:rPr>
          <w:rFonts w:hint="eastAsia"/>
        </w:rPr>
        <w:t>条）</w:t>
      </w:r>
    </w:p>
    <w:p w14:paraId="6E8E61D2" w14:textId="77777777" w:rsidR="00244A50" w:rsidRDefault="00093ABF" w:rsidP="004A005E">
      <w:pPr>
        <w:pStyle w:val="a3"/>
        <w:ind w:leftChars="0" w:left="440"/>
      </w:pPr>
      <w:r>
        <w:rPr>
          <w:rFonts w:hint="eastAsia"/>
        </w:rPr>
        <w:t>42</w:t>
      </w:r>
      <w:r w:rsidR="00244A50">
        <w:rPr>
          <w:rFonts w:hint="eastAsia"/>
        </w:rPr>
        <w:t xml:space="preserve">. </w:t>
      </w:r>
      <w:r w:rsidR="00244A50">
        <w:rPr>
          <w:rFonts w:hint="eastAsia"/>
        </w:rPr>
        <w:t>委員会は</w:t>
      </w:r>
      <w:r>
        <w:rPr>
          <w:rFonts w:hint="eastAsia"/>
        </w:rPr>
        <w:t>、障害者の生活水準に関するデータが不足していること、その結果障害者に充分な生活水準を保証するための社会支援措置の策定及び実施</w:t>
      </w:r>
      <w:r w:rsidR="00BA2E68">
        <w:rPr>
          <w:rFonts w:hint="eastAsia"/>
        </w:rPr>
        <w:t>の指針</w:t>
      </w:r>
      <w:r>
        <w:rPr>
          <w:rFonts w:hint="eastAsia"/>
        </w:rPr>
        <w:t>となる情報が不足していることを懸念する。</w:t>
      </w:r>
    </w:p>
    <w:p w14:paraId="674BA348" w14:textId="77777777" w:rsidR="00266E8D" w:rsidRDefault="00093ABF" w:rsidP="004A005E">
      <w:pPr>
        <w:pStyle w:val="a3"/>
        <w:ind w:leftChars="0" w:left="440"/>
      </w:pPr>
      <w:r>
        <w:rPr>
          <w:rFonts w:hint="eastAsia"/>
        </w:rPr>
        <w:t>43</w:t>
      </w:r>
      <w:r w:rsidR="00266E8D">
        <w:rPr>
          <w:rFonts w:hint="eastAsia"/>
        </w:rPr>
        <w:t xml:space="preserve">. </w:t>
      </w:r>
      <w:r w:rsidR="00266E8D">
        <w:rPr>
          <w:rFonts w:hint="eastAsia"/>
        </w:rPr>
        <w:t>委員会は</w:t>
      </w:r>
      <w:r>
        <w:rPr>
          <w:rFonts w:hint="eastAsia"/>
        </w:rPr>
        <w:t>締約国に</w:t>
      </w:r>
      <w:r w:rsidR="00266E8D">
        <w:rPr>
          <w:rFonts w:hint="eastAsia"/>
        </w:rPr>
        <w:t>、</w:t>
      </w:r>
      <w:r>
        <w:rPr>
          <w:rFonts w:hint="eastAsia"/>
        </w:rPr>
        <w:t>最低賃金と</w:t>
      </w:r>
      <w:r w:rsidR="00FB7035">
        <w:rPr>
          <w:rFonts w:hint="eastAsia"/>
        </w:rPr>
        <w:t>最低</w:t>
      </w:r>
      <w:r>
        <w:rPr>
          <w:rFonts w:hint="eastAsia"/>
        </w:rPr>
        <w:t>生活水準に則して、障害者に提供してい</w:t>
      </w:r>
      <w:r w:rsidR="00FB7035">
        <w:rPr>
          <w:rFonts w:hint="eastAsia"/>
        </w:rPr>
        <w:t>る社会的給付金を増やし、障害者とその家族が負担する障害に関連する</w:t>
      </w:r>
      <w:r>
        <w:rPr>
          <w:rFonts w:hint="eastAsia"/>
        </w:rPr>
        <w:t>余分な出費を補償するスキームを作成し</w:t>
      </w:r>
      <w:r w:rsidR="00FB7035">
        <w:rPr>
          <w:rFonts w:hint="eastAsia"/>
        </w:rPr>
        <w:t>、</w:t>
      </w:r>
      <w:r>
        <w:rPr>
          <w:rFonts w:hint="eastAsia"/>
        </w:rPr>
        <w:t>実施することを勧告する。</w:t>
      </w:r>
    </w:p>
    <w:p w14:paraId="5BC3F3DF" w14:textId="77777777" w:rsidR="00266E8D" w:rsidRDefault="00266E8D" w:rsidP="004A005E">
      <w:pPr>
        <w:pStyle w:val="a3"/>
        <w:ind w:leftChars="0" w:left="440"/>
      </w:pPr>
    </w:p>
    <w:p w14:paraId="076F8F60" w14:textId="77777777" w:rsidR="00266E8D" w:rsidRDefault="00266E8D" w:rsidP="004A005E">
      <w:pPr>
        <w:pStyle w:val="a3"/>
        <w:ind w:leftChars="0" w:left="440"/>
      </w:pPr>
      <w:r>
        <w:rPr>
          <w:rFonts w:hint="eastAsia"/>
        </w:rPr>
        <w:t>政治的及び公的生活への参加（第</w:t>
      </w:r>
      <w:r>
        <w:rPr>
          <w:rFonts w:hint="eastAsia"/>
        </w:rPr>
        <w:t>29</w:t>
      </w:r>
      <w:r>
        <w:rPr>
          <w:rFonts w:hint="eastAsia"/>
        </w:rPr>
        <w:t>条）</w:t>
      </w:r>
    </w:p>
    <w:p w14:paraId="5DDC15CA" w14:textId="77777777" w:rsidR="00266E8D" w:rsidRDefault="00093ABF" w:rsidP="00F70344">
      <w:pPr>
        <w:pStyle w:val="a3"/>
        <w:ind w:leftChars="0" w:left="440"/>
      </w:pPr>
      <w:r>
        <w:rPr>
          <w:rFonts w:hint="eastAsia"/>
        </w:rPr>
        <w:t>44</w:t>
      </w:r>
      <w:r w:rsidR="00266E8D">
        <w:rPr>
          <w:rFonts w:hint="eastAsia"/>
        </w:rPr>
        <w:t xml:space="preserve">. </w:t>
      </w:r>
      <w:r w:rsidR="006D61C7">
        <w:rPr>
          <w:rFonts w:hint="eastAsia"/>
        </w:rPr>
        <w:t>締約国は</w:t>
      </w:r>
      <w:r w:rsidR="00F70344">
        <w:rPr>
          <w:rFonts w:hint="eastAsia"/>
        </w:rPr>
        <w:t>、</w:t>
      </w:r>
      <w:r w:rsidR="006D61C7">
        <w:rPr>
          <w:rFonts w:hint="eastAsia"/>
        </w:rPr>
        <w:t>障害者が政治的及び公的生活に完全</w:t>
      </w:r>
      <w:r w:rsidR="00F70344">
        <w:rPr>
          <w:rFonts w:hint="eastAsia"/>
        </w:rPr>
        <w:t>参加することへの保証が充分でないことを認識しているものの、締約国の「</w:t>
      </w:r>
      <w:r w:rsidR="000E5424">
        <w:rPr>
          <w:rFonts w:hint="eastAsia"/>
        </w:rPr>
        <w:t>国家大会議（</w:t>
      </w:r>
      <w:r w:rsidR="00F70344">
        <w:rPr>
          <w:rFonts w:hint="eastAsia"/>
        </w:rPr>
        <w:t>Great Khural</w:t>
      </w:r>
      <w:r w:rsidR="000E5424">
        <w:rPr>
          <w:rFonts w:hint="eastAsia"/>
        </w:rPr>
        <w:t>）</w:t>
      </w:r>
      <w:r w:rsidR="00F70344">
        <w:rPr>
          <w:rFonts w:hint="eastAsia"/>
        </w:rPr>
        <w:t>選挙法」に障害者もしくは視覚、聴覚、移動損</w:t>
      </w:r>
      <w:r w:rsidR="00FB7035">
        <w:rPr>
          <w:rFonts w:hint="eastAsia"/>
        </w:rPr>
        <w:t>傷のある人に配慮するための補助もしくは支援措置について</w:t>
      </w:r>
      <w:r w:rsidR="00F70344">
        <w:rPr>
          <w:rFonts w:hint="eastAsia"/>
        </w:rPr>
        <w:t>特別な言及がない</w:t>
      </w:r>
      <w:r w:rsidR="00FB7035">
        <w:rPr>
          <w:rFonts w:hint="eastAsia"/>
        </w:rPr>
        <w:t>という報告</w:t>
      </w:r>
      <w:r w:rsidR="00F70344">
        <w:rPr>
          <w:rFonts w:hint="eastAsia"/>
        </w:rPr>
        <w:t>を、委員会は懸念する。</w:t>
      </w:r>
    </w:p>
    <w:p w14:paraId="5F3CBDE6" w14:textId="77777777" w:rsidR="001D0CA0" w:rsidRDefault="00F70344" w:rsidP="004A005E">
      <w:pPr>
        <w:pStyle w:val="a3"/>
        <w:ind w:leftChars="0" w:left="440"/>
      </w:pPr>
      <w:r>
        <w:rPr>
          <w:rFonts w:hint="eastAsia"/>
        </w:rPr>
        <w:t>45</w:t>
      </w:r>
      <w:r w:rsidR="001D0CA0">
        <w:rPr>
          <w:rFonts w:hint="eastAsia"/>
        </w:rPr>
        <w:t xml:space="preserve">. </w:t>
      </w:r>
      <w:r w:rsidR="00E4628E">
        <w:rPr>
          <w:rFonts w:hint="eastAsia"/>
        </w:rPr>
        <w:t>委員会は、</w:t>
      </w:r>
      <w:r>
        <w:rPr>
          <w:rFonts w:hint="eastAsia"/>
        </w:rPr>
        <w:t>締約国が障害を理由として投票権を否定もしくは制限する法的規定を廃止し、障害者が市民、投票者、候補者として、選挙及び公的生活に完全参加できることを保証するために、適切な法的措置を作成することを勧告する。</w:t>
      </w:r>
    </w:p>
    <w:p w14:paraId="384E0064" w14:textId="77777777" w:rsidR="00F70344" w:rsidRDefault="00F70344" w:rsidP="004A005E">
      <w:pPr>
        <w:pStyle w:val="a3"/>
        <w:ind w:leftChars="0" w:left="440"/>
      </w:pPr>
    </w:p>
    <w:p w14:paraId="2371BC05" w14:textId="77777777" w:rsidR="00F70344" w:rsidRDefault="00F70344" w:rsidP="004A005E">
      <w:pPr>
        <w:pStyle w:val="a3"/>
        <w:ind w:leftChars="0" w:left="440"/>
      </w:pPr>
      <w:r>
        <w:rPr>
          <w:rFonts w:hint="eastAsia"/>
        </w:rPr>
        <w:t>統計及び資料の収集（第</w:t>
      </w:r>
      <w:r>
        <w:rPr>
          <w:rFonts w:hint="eastAsia"/>
        </w:rPr>
        <w:t>31</w:t>
      </w:r>
      <w:r>
        <w:rPr>
          <w:rFonts w:hint="eastAsia"/>
        </w:rPr>
        <w:t>条）</w:t>
      </w:r>
    </w:p>
    <w:p w14:paraId="5D46CE6D" w14:textId="166C57C7" w:rsidR="00F70344" w:rsidRDefault="00F70344" w:rsidP="004A005E">
      <w:pPr>
        <w:pStyle w:val="a3"/>
        <w:ind w:leftChars="0" w:left="440"/>
      </w:pPr>
      <w:r>
        <w:rPr>
          <w:rFonts w:hint="eastAsia"/>
        </w:rPr>
        <w:t xml:space="preserve">46. </w:t>
      </w:r>
      <w:r w:rsidR="00F51A09">
        <w:rPr>
          <w:rFonts w:hint="eastAsia"/>
        </w:rPr>
        <w:t>委員会は、</w:t>
      </w:r>
      <w:r w:rsidR="00FB7035">
        <w:rPr>
          <w:rFonts w:hint="eastAsia"/>
        </w:rPr>
        <w:t>締約国における障害者の人数及び状況</w:t>
      </w:r>
      <w:r w:rsidR="006B73AD">
        <w:rPr>
          <w:rFonts w:hint="eastAsia"/>
        </w:rPr>
        <w:t>に関する資料</w:t>
      </w:r>
      <w:r w:rsidR="000E5424">
        <w:rPr>
          <w:rFonts w:hint="eastAsia"/>
        </w:rPr>
        <w:t>及び統計が不足していることを懸念する。</w:t>
      </w:r>
    </w:p>
    <w:p w14:paraId="006A17CC" w14:textId="0130C56A" w:rsidR="000E5424" w:rsidRDefault="000E5424" w:rsidP="004A005E">
      <w:pPr>
        <w:pStyle w:val="a3"/>
        <w:ind w:leftChars="0" w:left="440"/>
      </w:pPr>
      <w:r>
        <w:rPr>
          <w:rFonts w:hint="eastAsia"/>
        </w:rPr>
        <w:t xml:space="preserve">47. </w:t>
      </w:r>
      <w:r>
        <w:rPr>
          <w:rFonts w:hint="eastAsia"/>
        </w:rPr>
        <w:t>委員会は、締約国が障害者の権利を</w:t>
      </w:r>
      <w:r w:rsidR="006B73AD">
        <w:rPr>
          <w:rFonts w:hint="eastAsia"/>
        </w:rPr>
        <w:t>元にしたモデルを使い、性別、年齢、障害によって分類した、資料</w:t>
      </w:r>
      <w:r w:rsidR="00FB7035">
        <w:rPr>
          <w:rFonts w:hint="eastAsia"/>
        </w:rPr>
        <w:t>と統計を収集することを勧告する。特に、</w:t>
      </w:r>
      <w:r>
        <w:rPr>
          <w:rFonts w:hint="eastAsia"/>
        </w:rPr>
        <w:t>施設</w:t>
      </w:r>
      <w:r w:rsidR="00FB7035">
        <w:rPr>
          <w:rFonts w:hint="eastAsia"/>
        </w:rPr>
        <w:t>に</w:t>
      </w:r>
      <w:r>
        <w:rPr>
          <w:rFonts w:hint="eastAsia"/>
        </w:rPr>
        <w:t>入所している人</w:t>
      </w:r>
      <w:r w:rsidR="00FB7035">
        <w:rPr>
          <w:rFonts w:hint="eastAsia"/>
        </w:rPr>
        <w:t>、</w:t>
      </w:r>
      <w:r>
        <w:rPr>
          <w:rFonts w:hint="eastAsia"/>
        </w:rPr>
        <w:t>及び障害者法</w:t>
      </w:r>
      <w:r w:rsidR="00FB7035">
        <w:rPr>
          <w:rFonts w:hint="eastAsia"/>
        </w:rPr>
        <w:t>、社会保障法、社会福祉法のもとで社会的保護を享受している障害者に関する</w:t>
      </w:r>
      <w:r>
        <w:rPr>
          <w:rFonts w:hint="eastAsia"/>
        </w:rPr>
        <w:t>そうした情報を収集することを勧告する。</w:t>
      </w:r>
    </w:p>
    <w:p w14:paraId="011FABAE" w14:textId="77777777" w:rsidR="000E5424" w:rsidRPr="00FB7035" w:rsidRDefault="000E5424" w:rsidP="004A005E">
      <w:pPr>
        <w:pStyle w:val="a3"/>
        <w:ind w:leftChars="0" w:left="440"/>
      </w:pPr>
    </w:p>
    <w:p w14:paraId="3709D907" w14:textId="77777777" w:rsidR="000E5424" w:rsidRDefault="000E5424" w:rsidP="004A005E">
      <w:pPr>
        <w:pStyle w:val="a3"/>
        <w:ind w:leftChars="0" w:left="440"/>
      </w:pPr>
      <w:r>
        <w:rPr>
          <w:rFonts w:hint="eastAsia"/>
        </w:rPr>
        <w:t>国際協力（第</w:t>
      </w:r>
      <w:r>
        <w:rPr>
          <w:rFonts w:hint="eastAsia"/>
        </w:rPr>
        <w:t>32</w:t>
      </w:r>
      <w:r>
        <w:rPr>
          <w:rFonts w:hint="eastAsia"/>
        </w:rPr>
        <w:t>条）</w:t>
      </w:r>
    </w:p>
    <w:p w14:paraId="0FD7A3F8" w14:textId="77777777" w:rsidR="002F49F4" w:rsidRDefault="000E5424" w:rsidP="002F49F4">
      <w:pPr>
        <w:pStyle w:val="a3"/>
        <w:ind w:leftChars="0" w:left="440"/>
      </w:pPr>
      <w:r>
        <w:rPr>
          <w:rFonts w:hint="eastAsia"/>
        </w:rPr>
        <w:t xml:space="preserve">48. </w:t>
      </w:r>
      <w:r w:rsidR="002F49F4">
        <w:rPr>
          <w:rFonts w:hint="eastAsia"/>
        </w:rPr>
        <w:t>委員会は、締約国が条約を実施するため</w:t>
      </w:r>
      <w:r w:rsidR="00FC5705">
        <w:rPr>
          <w:rFonts w:hint="eastAsia"/>
        </w:rPr>
        <w:t>の能力を向上するために</w:t>
      </w:r>
      <w:r w:rsidR="00E96A19">
        <w:rPr>
          <w:rFonts w:hint="eastAsia"/>
        </w:rPr>
        <w:t>国際機関と協働</w:t>
      </w:r>
      <w:r w:rsidR="002F49F4">
        <w:rPr>
          <w:rFonts w:hint="eastAsia"/>
        </w:rPr>
        <w:t>するにあたり、障害者</w:t>
      </w:r>
      <w:r w:rsidR="00E96A19">
        <w:rPr>
          <w:rFonts w:hint="eastAsia"/>
        </w:rPr>
        <w:t>を</w:t>
      </w:r>
      <w:r w:rsidR="002F49F4">
        <w:rPr>
          <w:rFonts w:hint="eastAsia"/>
        </w:rPr>
        <w:t>充分</w:t>
      </w:r>
      <w:r w:rsidR="00E96A19">
        <w:rPr>
          <w:rFonts w:hint="eastAsia"/>
        </w:rPr>
        <w:t>に参加させていないことを懸念する。特に委員会は、そのような国際協力の成果の中には</w:t>
      </w:r>
      <w:r w:rsidR="002F49F4">
        <w:rPr>
          <w:rFonts w:hint="eastAsia"/>
        </w:rPr>
        <w:t>、</w:t>
      </w:r>
      <w:r w:rsidR="00417805">
        <w:rPr>
          <w:rFonts w:hint="eastAsia"/>
        </w:rPr>
        <w:t>障害者のニーズに対応</w:t>
      </w:r>
      <w:r w:rsidR="00E96A19">
        <w:rPr>
          <w:rFonts w:hint="eastAsia"/>
        </w:rPr>
        <w:t>する主な手段として、地域に根付いたケアよりも施設でのケアを優先する、インクルーシブではなく隔離した教育を提供するなど、</w:t>
      </w:r>
      <w:r w:rsidR="002F49F4">
        <w:rPr>
          <w:rFonts w:hint="eastAsia"/>
        </w:rPr>
        <w:t>条約</w:t>
      </w:r>
      <w:r w:rsidR="00E96A19">
        <w:rPr>
          <w:rFonts w:hint="eastAsia"/>
        </w:rPr>
        <w:t>に</w:t>
      </w:r>
      <w:r w:rsidR="002F49F4">
        <w:rPr>
          <w:rFonts w:hint="eastAsia"/>
        </w:rPr>
        <w:t>完全に</w:t>
      </w:r>
      <w:r w:rsidR="00E96A19">
        <w:rPr>
          <w:rFonts w:hint="eastAsia"/>
        </w:rPr>
        <w:t>準拠して</w:t>
      </w:r>
      <w:r w:rsidR="002F49F4">
        <w:rPr>
          <w:rFonts w:hint="eastAsia"/>
        </w:rPr>
        <w:t>いない措置</w:t>
      </w:r>
      <w:r w:rsidR="00E96A19">
        <w:rPr>
          <w:rFonts w:hint="eastAsia"/>
        </w:rPr>
        <w:t>を実施す</w:t>
      </w:r>
      <w:r w:rsidR="00EB4E0D">
        <w:rPr>
          <w:rFonts w:hint="eastAsia"/>
        </w:rPr>
        <w:t>る</w:t>
      </w:r>
      <w:r w:rsidR="00417805">
        <w:rPr>
          <w:rFonts w:hint="eastAsia"/>
        </w:rPr>
        <w:t>効果があ</w:t>
      </w:r>
      <w:r w:rsidR="002F49F4">
        <w:rPr>
          <w:rFonts w:hint="eastAsia"/>
        </w:rPr>
        <w:t>った</w:t>
      </w:r>
      <w:r w:rsidR="00E96A19">
        <w:rPr>
          <w:rFonts w:hint="eastAsia"/>
        </w:rPr>
        <w:t>という報告</w:t>
      </w:r>
      <w:r w:rsidR="002F49F4">
        <w:rPr>
          <w:rFonts w:hint="eastAsia"/>
        </w:rPr>
        <w:t>を懸念する。</w:t>
      </w:r>
      <w:r w:rsidR="00EB4E0D">
        <w:rPr>
          <w:rFonts w:hint="eastAsia"/>
        </w:rPr>
        <w:t>さらに、ミレニアム開発目標を国内レベルで実施するにあたり</w:t>
      </w:r>
      <w:r w:rsidR="00E96A19">
        <w:rPr>
          <w:rFonts w:hint="eastAsia"/>
        </w:rPr>
        <w:t>、</w:t>
      </w:r>
      <w:r w:rsidR="002F49F4">
        <w:rPr>
          <w:rFonts w:hint="eastAsia"/>
        </w:rPr>
        <w:t>障害者</w:t>
      </w:r>
      <w:r w:rsidR="00E96A19">
        <w:rPr>
          <w:rFonts w:hint="eastAsia"/>
        </w:rPr>
        <w:t>の観点から</w:t>
      </w:r>
      <w:r w:rsidR="002F49F4">
        <w:rPr>
          <w:rFonts w:hint="eastAsia"/>
        </w:rPr>
        <w:t>インクルージョンの情報が不足していることも委員会は懸念する。</w:t>
      </w:r>
    </w:p>
    <w:p w14:paraId="5EBA11B8" w14:textId="557AF019" w:rsidR="002F49F4" w:rsidRPr="00F70344" w:rsidRDefault="002F49F4" w:rsidP="002F49F4">
      <w:pPr>
        <w:pStyle w:val="a3"/>
        <w:ind w:leftChars="0" w:left="440"/>
      </w:pPr>
      <w:r>
        <w:rPr>
          <w:rFonts w:hint="eastAsia"/>
        </w:rPr>
        <w:t xml:space="preserve">49. </w:t>
      </w:r>
      <w:r>
        <w:rPr>
          <w:rFonts w:hint="eastAsia"/>
        </w:rPr>
        <w:t>委員会は</w:t>
      </w:r>
      <w:r w:rsidR="00EB4E0D">
        <w:rPr>
          <w:rFonts w:hint="eastAsia"/>
        </w:rPr>
        <w:t>、締約国が行っている国際プロジェクトは条約の原則に完全に準拠し</w:t>
      </w:r>
      <w:r>
        <w:rPr>
          <w:rFonts w:hint="eastAsia"/>
        </w:rPr>
        <w:t>ている</w:t>
      </w:r>
      <w:r w:rsidR="008B0D46">
        <w:rPr>
          <w:rFonts w:hint="eastAsia"/>
        </w:rPr>
        <w:t>かを考慮し、障害インクルーシブな開発プロジェクトを設計、実施、監視することに、</w:t>
      </w:r>
      <w:r w:rsidR="00EB4E0D">
        <w:rPr>
          <w:rFonts w:hint="eastAsia"/>
        </w:rPr>
        <w:t>障害者及び彼らを代表する団体が、有意義</w:t>
      </w:r>
      <w:r w:rsidR="00F267F8">
        <w:rPr>
          <w:rFonts w:hint="eastAsia"/>
        </w:rPr>
        <w:t>で権限を持って</w:t>
      </w:r>
      <w:r w:rsidR="00EB4E0D">
        <w:rPr>
          <w:rFonts w:hint="eastAsia"/>
        </w:rPr>
        <w:t>参加しインクルージョンされ</w:t>
      </w:r>
      <w:r w:rsidR="008B0D46">
        <w:rPr>
          <w:rFonts w:hint="eastAsia"/>
        </w:rPr>
        <w:t>ることを保障するよう</w:t>
      </w:r>
      <w:r w:rsidR="00FC5705">
        <w:rPr>
          <w:rFonts w:hint="eastAsia"/>
        </w:rPr>
        <w:t>、</w:t>
      </w:r>
      <w:r w:rsidR="008B0D46">
        <w:rPr>
          <w:rFonts w:hint="eastAsia"/>
        </w:rPr>
        <w:t>さらに努力することを勧告する。委員会は締約国に、ミレニアム開発目標及びポスト</w:t>
      </w:r>
      <w:r w:rsidR="008B0D46">
        <w:rPr>
          <w:rFonts w:hint="eastAsia"/>
        </w:rPr>
        <w:t>2015</w:t>
      </w:r>
      <w:r w:rsidR="008B0D46">
        <w:rPr>
          <w:rFonts w:hint="eastAsia"/>
        </w:rPr>
        <w:t>年開発アジェンダの一部として促進される持続可能な開発目標</w:t>
      </w:r>
      <w:r w:rsidR="00783E0F">
        <w:rPr>
          <w:rFonts w:hint="eastAsia"/>
        </w:rPr>
        <w:t>の実施に障害者の権利の視点を考慮することを勧告する。締約国は、条約および本文書に記されている勧告を実施し続けるために、国際連合に技術援助を求めることができる。</w:t>
      </w:r>
    </w:p>
    <w:p w14:paraId="2346BBA1" w14:textId="77777777" w:rsidR="00B6425B" w:rsidRPr="008B0D46" w:rsidRDefault="00B6425B" w:rsidP="003A74D5"/>
    <w:p w14:paraId="6B98C5A9" w14:textId="77777777" w:rsidR="00A0085D" w:rsidRPr="00A0085D" w:rsidRDefault="00A0085D" w:rsidP="00C356C1">
      <w:pPr>
        <w:pStyle w:val="a3"/>
        <w:numPr>
          <w:ilvl w:val="0"/>
          <w:numId w:val="6"/>
        </w:numPr>
        <w:ind w:leftChars="0"/>
      </w:pPr>
      <w:r>
        <w:rPr>
          <w:rFonts w:hint="eastAsia"/>
        </w:rPr>
        <w:t>個別の権利（第</w:t>
      </w:r>
      <w:r>
        <w:rPr>
          <w:rFonts w:hint="eastAsia"/>
        </w:rPr>
        <w:t>31</w:t>
      </w:r>
      <w:r>
        <w:rPr>
          <w:rFonts w:hint="eastAsia"/>
        </w:rPr>
        <w:t>条－第</w:t>
      </w:r>
      <w:r>
        <w:rPr>
          <w:rFonts w:hint="eastAsia"/>
        </w:rPr>
        <w:t>33</w:t>
      </w:r>
      <w:r>
        <w:rPr>
          <w:rFonts w:hint="eastAsia"/>
        </w:rPr>
        <w:t>条）</w:t>
      </w:r>
    </w:p>
    <w:p w14:paraId="5EE3CABF" w14:textId="77777777" w:rsidR="00A0085D" w:rsidRDefault="001D0CA0" w:rsidP="001D0CA0">
      <w:pPr>
        <w:ind w:left="440"/>
      </w:pPr>
      <w:r>
        <w:rPr>
          <w:rFonts w:hint="eastAsia"/>
        </w:rPr>
        <w:t>国内的な実施及び監視（第</w:t>
      </w:r>
      <w:r>
        <w:rPr>
          <w:rFonts w:hint="eastAsia"/>
        </w:rPr>
        <w:t>33</w:t>
      </w:r>
      <w:r>
        <w:rPr>
          <w:rFonts w:hint="eastAsia"/>
        </w:rPr>
        <w:t>条）</w:t>
      </w:r>
    </w:p>
    <w:p w14:paraId="63E5E005" w14:textId="77777777" w:rsidR="001D0CA0" w:rsidRDefault="001A6169" w:rsidP="001A6169">
      <w:pPr>
        <w:ind w:left="440"/>
      </w:pPr>
      <w:r>
        <w:rPr>
          <w:rFonts w:hint="eastAsia"/>
        </w:rPr>
        <w:t>50</w:t>
      </w:r>
      <w:r w:rsidR="001D0CA0">
        <w:rPr>
          <w:rFonts w:hint="eastAsia"/>
        </w:rPr>
        <w:t xml:space="preserve">. </w:t>
      </w:r>
      <w:r w:rsidR="001D0CA0">
        <w:rPr>
          <w:rFonts w:hint="eastAsia"/>
        </w:rPr>
        <w:t>委員会は、</w:t>
      </w:r>
      <w:r w:rsidR="00417805">
        <w:rPr>
          <w:rFonts w:hint="eastAsia"/>
        </w:rPr>
        <w:t>条約の実施のための、一貫した国内レベルでの障害法を発展させるため</w:t>
      </w:r>
      <w:r w:rsidR="00F42130">
        <w:rPr>
          <w:rFonts w:hint="eastAsia"/>
        </w:rPr>
        <w:t>、及び</w:t>
      </w:r>
      <w:r>
        <w:rPr>
          <w:rFonts w:hint="eastAsia"/>
        </w:rPr>
        <w:t>政策変更を制度化</w:t>
      </w:r>
      <w:r w:rsidR="005A33D1">
        <w:rPr>
          <w:rFonts w:hint="eastAsia"/>
        </w:rPr>
        <w:t>するための、</w:t>
      </w:r>
      <w:r>
        <w:rPr>
          <w:rFonts w:hint="eastAsia"/>
        </w:rPr>
        <w:t>人的、技術的、財政的資源が不足していることを懸念する</w:t>
      </w:r>
      <w:r w:rsidR="00F33031">
        <w:rPr>
          <w:rFonts w:hint="eastAsia"/>
        </w:rPr>
        <w:t>。</w:t>
      </w:r>
    </w:p>
    <w:p w14:paraId="04D00978" w14:textId="64E1659B" w:rsidR="00F33031" w:rsidRDefault="001A6169" w:rsidP="00F42130">
      <w:pPr>
        <w:ind w:left="440"/>
      </w:pPr>
      <w:r>
        <w:rPr>
          <w:rFonts w:hint="eastAsia"/>
        </w:rPr>
        <w:t>51</w:t>
      </w:r>
      <w:r w:rsidR="00F33031">
        <w:rPr>
          <w:rFonts w:hint="eastAsia"/>
        </w:rPr>
        <w:t xml:space="preserve">. </w:t>
      </w:r>
      <w:r w:rsidR="00F33031">
        <w:rPr>
          <w:rFonts w:hint="eastAsia"/>
        </w:rPr>
        <w:t>委員会は</w:t>
      </w:r>
      <w:r w:rsidR="00BF761D">
        <w:rPr>
          <w:rFonts w:hint="eastAsia"/>
        </w:rPr>
        <w:t>、</w:t>
      </w:r>
      <w:r w:rsidR="00F42130">
        <w:rPr>
          <w:rFonts w:hint="eastAsia"/>
        </w:rPr>
        <w:t>締約国が</w:t>
      </w:r>
      <w:r w:rsidR="00BF761D">
        <w:rPr>
          <w:rFonts w:hint="eastAsia"/>
        </w:rPr>
        <w:t>条約の実施を監視するため</w:t>
      </w:r>
      <w:r w:rsidR="00233CAE">
        <w:rPr>
          <w:rFonts w:hint="eastAsia"/>
        </w:rPr>
        <w:t>に、人権促進と保護のための国内機構</w:t>
      </w:r>
      <w:r w:rsidR="00F42130">
        <w:rPr>
          <w:rFonts w:hint="eastAsia"/>
        </w:rPr>
        <w:t>の</w:t>
      </w:r>
      <w:r w:rsidR="00417805">
        <w:rPr>
          <w:rFonts w:hint="eastAsia"/>
        </w:rPr>
        <w:t>地位</w:t>
      </w:r>
      <w:r w:rsidR="00F42130">
        <w:rPr>
          <w:rFonts w:hint="eastAsia"/>
        </w:rPr>
        <w:t>に関連する原則</w:t>
      </w:r>
      <w:r w:rsidR="00233CAE">
        <w:rPr>
          <w:rFonts w:hint="eastAsia"/>
        </w:rPr>
        <w:t>（パリ原則）</w:t>
      </w:r>
      <w:r w:rsidR="00F42130">
        <w:rPr>
          <w:rFonts w:hint="eastAsia"/>
        </w:rPr>
        <w:t>に</w:t>
      </w:r>
      <w:r w:rsidR="00417805">
        <w:rPr>
          <w:rFonts w:hint="eastAsia"/>
        </w:rPr>
        <w:t>のっとって</w:t>
      </w:r>
      <w:r w:rsidR="00F42130">
        <w:rPr>
          <w:rFonts w:hint="eastAsia"/>
        </w:rPr>
        <w:t>、国</w:t>
      </w:r>
      <w:r>
        <w:rPr>
          <w:rFonts w:hint="eastAsia"/>
        </w:rPr>
        <w:t>内の独立した監視</w:t>
      </w:r>
      <w:r w:rsidR="006B73AD">
        <w:rPr>
          <w:rFonts w:hint="eastAsia"/>
        </w:rPr>
        <w:t>の仕組み</w:t>
      </w:r>
      <w:r w:rsidR="00417805">
        <w:rPr>
          <w:rFonts w:hint="eastAsia"/>
        </w:rPr>
        <w:t>を特別に指定</w:t>
      </w:r>
      <w:r w:rsidR="00F42130">
        <w:rPr>
          <w:rFonts w:hint="eastAsia"/>
        </w:rPr>
        <w:t>することを</w:t>
      </w:r>
      <w:r w:rsidR="00F33031">
        <w:rPr>
          <w:rFonts w:hint="eastAsia"/>
        </w:rPr>
        <w:t>勧告する。</w:t>
      </w:r>
      <w:r w:rsidR="00F42130">
        <w:rPr>
          <w:rFonts w:hint="eastAsia"/>
        </w:rPr>
        <w:t>その際、</w:t>
      </w:r>
      <w:r w:rsidR="008B7549">
        <w:rPr>
          <w:rFonts w:hint="eastAsia"/>
        </w:rPr>
        <w:t>締約国は</w:t>
      </w:r>
      <w:r w:rsidR="00417805">
        <w:rPr>
          <w:rFonts w:hint="eastAsia"/>
        </w:rPr>
        <w:t>同</w:t>
      </w:r>
      <w:r w:rsidR="006B73AD">
        <w:rPr>
          <w:rFonts w:hint="eastAsia"/>
        </w:rPr>
        <w:t>仕組み</w:t>
      </w:r>
      <w:r w:rsidR="008B7549">
        <w:rPr>
          <w:rFonts w:hint="eastAsia"/>
        </w:rPr>
        <w:t>に十分な人的、技術的、財政的資源が提供されるよう保証する。さらに、</w:t>
      </w:r>
      <w:r w:rsidR="009358F8">
        <w:rPr>
          <w:rFonts w:hint="eastAsia"/>
        </w:rPr>
        <w:t>条約の実施を監視するにあたり、障害者を代表する団体を通じて、障害者の完全参加が保障される特定</w:t>
      </w:r>
      <w:r w:rsidR="00417805">
        <w:rPr>
          <w:rFonts w:hint="eastAsia"/>
        </w:rPr>
        <w:t>の措置</w:t>
      </w:r>
      <w:r w:rsidR="009358F8">
        <w:rPr>
          <w:rFonts w:hint="eastAsia"/>
        </w:rPr>
        <w:t>が</w:t>
      </w:r>
      <w:r w:rsidR="008B7549">
        <w:rPr>
          <w:rFonts w:hint="eastAsia"/>
        </w:rPr>
        <w:t>取られることを強く勧告する。</w:t>
      </w:r>
    </w:p>
    <w:p w14:paraId="3C07F86A" w14:textId="77777777" w:rsidR="00A0085D" w:rsidRDefault="00A0085D"/>
    <w:p w14:paraId="18D1E0B6" w14:textId="77777777" w:rsidR="005A33D1" w:rsidRDefault="005A33D1">
      <w:r>
        <w:rPr>
          <w:rFonts w:hint="eastAsia"/>
        </w:rPr>
        <w:t xml:space="preserve">　　</w:t>
      </w:r>
      <w:r w:rsidR="008B7549">
        <w:rPr>
          <w:rFonts w:hint="eastAsia"/>
        </w:rPr>
        <w:t>総括所見の</w:t>
      </w:r>
      <w:r>
        <w:rPr>
          <w:rFonts w:hint="eastAsia"/>
        </w:rPr>
        <w:t>フォローアップと普及</w:t>
      </w:r>
    </w:p>
    <w:p w14:paraId="46A676AA" w14:textId="0807ADF1" w:rsidR="005A33D1" w:rsidRDefault="005A33D1" w:rsidP="00831497">
      <w:pPr>
        <w:ind w:left="420" w:hangingChars="200" w:hanging="420"/>
      </w:pPr>
      <w:r>
        <w:rPr>
          <w:rFonts w:hint="eastAsia"/>
        </w:rPr>
        <w:t xml:space="preserve">　　</w:t>
      </w:r>
      <w:r>
        <w:rPr>
          <w:rFonts w:hint="eastAsia"/>
        </w:rPr>
        <w:t xml:space="preserve">52. </w:t>
      </w:r>
      <w:r>
        <w:rPr>
          <w:rFonts w:hint="eastAsia"/>
        </w:rPr>
        <w:t>委員会は、締約国が本総括所見に</w:t>
      </w:r>
      <w:r w:rsidR="009358F8">
        <w:rPr>
          <w:rFonts w:hint="eastAsia"/>
        </w:rPr>
        <w:t>記されている</w:t>
      </w:r>
      <w:r>
        <w:rPr>
          <w:rFonts w:hint="eastAsia"/>
        </w:rPr>
        <w:t>勧告を実施するよう要請する。委員会は、締約国が現代的</w:t>
      </w:r>
      <w:r w:rsidR="00F267F8">
        <w:rPr>
          <w:rFonts w:hint="eastAsia"/>
        </w:rPr>
        <w:t>なソーシャルコミュニケーション戦略</w:t>
      </w:r>
      <w:r>
        <w:rPr>
          <w:rFonts w:hint="eastAsia"/>
        </w:rPr>
        <w:t>を用いて、総括所見を、政府と</w:t>
      </w:r>
      <w:r w:rsidR="00831497">
        <w:rPr>
          <w:rFonts w:hint="eastAsia"/>
        </w:rPr>
        <w:t>議会のメンバー、関連する省庁の幹部、司法及び教育、医学、法律などの関連する専門家集団、並びに地方当局、民間セクターとメディアに対して、その考慮と行動のために、送付するよう</w:t>
      </w:r>
      <w:r>
        <w:rPr>
          <w:rFonts w:hint="eastAsia"/>
        </w:rPr>
        <w:t>勧告する。</w:t>
      </w:r>
    </w:p>
    <w:p w14:paraId="7B233BB5" w14:textId="1B39ED6D" w:rsidR="00192E7F" w:rsidRDefault="00831497" w:rsidP="00831497">
      <w:pPr>
        <w:ind w:left="420" w:hangingChars="200" w:hanging="420"/>
      </w:pPr>
      <w:r>
        <w:t xml:space="preserve">　　</w:t>
      </w:r>
      <w:r>
        <w:rPr>
          <w:rFonts w:hint="eastAsia"/>
        </w:rPr>
        <w:t xml:space="preserve">53. </w:t>
      </w:r>
      <w:r>
        <w:rPr>
          <w:rFonts w:hint="eastAsia"/>
        </w:rPr>
        <w:t>委員会は、締約国が本総括</w:t>
      </w:r>
      <w:r w:rsidR="00F267F8">
        <w:rPr>
          <w:rFonts w:hint="eastAsia"/>
        </w:rPr>
        <w:t>所見を、非政府組織、障害者を代表する団体、及び障害当事者とその家族に対して</w:t>
      </w:r>
      <w:r>
        <w:rPr>
          <w:rFonts w:hint="eastAsia"/>
        </w:rPr>
        <w:t>、アクセシブルなフォーマットで広く普及することを要請する。</w:t>
      </w:r>
    </w:p>
    <w:p w14:paraId="11B69ACC" w14:textId="77777777" w:rsidR="00831497" w:rsidRDefault="00831497" w:rsidP="00831497">
      <w:pPr>
        <w:ind w:left="420" w:hangingChars="200" w:hanging="420"/>
      </w:pPr>
      <w:r>
        <w:rPr>
          <w:rFonts w:hint="eastAsia"/>
        </w:rPr>
        <w:t xml:space="preserve">　　</w:t>
      </w:r>
      <w:r>
        <w:rPr>
          <w:rFonts w:hint="eastAsia"/>
        </w:rPr>
        <w:t xml:space="preserve">54. </w:t>
      </w:r>
      <w:r>
        <w:rPr>
          <w:rFonts w:hint="eastAsia"/>
        </w:rPr>
        <w:t>委員会は、締約国が第</w:t>
      </w:r>
      <w:r>
        <w:rPr>
          <w:rFonts w:hint="eastAsia"/>
        </w:rPr>
        <w:t>2</w:t>
      </w:r>
      <w:r>
        <w:rPr>
          <w:rFonts w:hint="eastAsia"/>
        </w:rPr>
        <w:t>回定期報告の準備に当たっては、市民社会</w:t>
      </w:r>
      <w:r w:rsidR="001646AD">
        <w:rPr>
          <w:rFonts w:hint="eastAsia"/>
        </w:rPr>
        <w:t>団体</w:t>
      </w:r>
      <w:r w:rsidR="009B54F1">
        <w:rPr>
          <w:rFonts w:hint="eastAsia"/>
        </w:rPr>
        <w:t>、特に障害者</w:t>
      </w:r>
      <w:r w:rsidR="001646AD">
        <w:rPr>
          <w:rFonts w:hint="eastAsia"/>
        </w:rPr>
        <w:t>団体</w:t>
      </w:r>
      <w:r>
        <w:rPr>
          <w:rFonts w:hint="eastAsia"/>
        </w:rPr>
        <w:t>を</w:t>
      </w:r>
      <w:r w:rsidR="009B54F1">
        <w:rPr>
          <w:rFonts w:hint="eastAsia"/>
        </w:rPr>
        <w:t>関与させるよう、</w:t>
      </w:r>
      <w:r>
        <w:rPr>
          <w:rFonts w:hint="eastAsia"/>
        </w:rPr>
        <w:t>強く奨励する。</w:t>
      </w:r>
    </w:p>
    <w:p w14:paraId="255D4A52" w14:textId="77777777" w:rsidR="00831497" w:rsidRDefault="00831497" w:rsidP="00831497">
      <w:pPr>
        <w:ind w:left="420" w:hangingChars="200" w:hanging="420"/>
      </w:pPr>
      <w:r>
        <w:rPr>
          <w:rFonts w:hint="eastAsia"/>
        </w:rPr>
        <w:t xml:space="preserve">　　</w:t>
      </w:r>
      <w:r>
        <w:rPr>
          <w:rFonts w:hint="eastAsia"/>
        </w:rPr>
        <w:t xml:space="preserve">55. </w:t>
      </w:r>
      <w:r w:rsidR="009B54F1">
        <w:rPr>
          <w:rFonts w:hint="eastAsia"/>
        </w:rPr>
        <w:t>委員会は、締約国が、条約の第</w:t>
      </w:r>
      <w:r w:rsidR="009B54F1">
        <w:rPr>
          <w:rFonts w:hint="eastAsia"/>
        </w:rPr>
        <w:t>35</w:t>
      </w:r>
      <w:r w:rsidR="009B54F1">
        <w:rPr>
          <w:rFonts w:hint="eastAsia"/>
        </w:rPr>
        <w:t>条</w:t>
      </w:r>
      <w:r w:rsidR="009B54F1">
        <w:rPr>
          <w:rFonts w:hint="eastAsia"/>
        </w:rPr>
        <w:t>(2)</w:t>
      </w:r>
      <w:r w:rsidR="009B54F1">
        <w:rPr>
          <w:rFonts w:hint="eastAsia"/>
        </w:rPr>
        <w:t>に従って、第</w:t>
      </w:r>
      <w:r w:rsidR="009B54F1">
        <w:rPr>
          <w:rFonts w:hint="eastAsia"/>
        </w:rPr>
        <w:t>32</w:t>
      </w:r>
      <w:r w:rsidR="009B54F1">
        <w:rPr>
          <w:rFonts w:hint="eastAsia"/>
        </w:rPr>
        <w:t>段落と第</w:t>
      </w:r>
      <w:r w:rsidR="009B54F1">
        <w:rPr>
          <w:rFonts w:hint="eastAsia"/>
        </w:rPr>
        <w:t>46</w:t>
      </w:r>
      <w:r w:rsidR="001646AD">
        <w:rPr>
          <w:rFonts w:hint="eastAsia"/>
        </w:rPr>
        <w:t>段落に書かれた</w:t>
      </w:r>
      <w:r w:rsidR="009B54F1">
        <w:rPr>
          <w:rFonts w:hint="eastAsia"/>
        </w:rPr>
        <w:t>勧告を実施するために取</w:t>
      </w:r>
      <w:r w:rsidR="00ED3668">
        <w:rPr>
          <w:rFonts w:hint="eastAsia"/>
        </w:rPr>
        <w:t>った手段</w:t>
      </w:r>
      <w:r w:rsidR="009B54F1">
        <w:rPr>
          <w:rFonts w:hint="eastAsia"/>
        </w:rPr>
        <w:t>に</w:t>
      </w:r>
      <w:r w:rsidR="00ED3668">
        <w:rPr>
          <w:rFonts w:hint="eastAsia"/>
        </w:rPr>
        <w:t>ついて</w:t>
      </w:r>
      <w:r w:rsidR="001646AD">
        <w:rPr>
          <w:rFonts w:hint="eastAsia"/>
        </w:rPr>
        <w:t>書かれた</w:t>
      </w:r>
      <w:r w:rsidR="009B54F1">
        <w:rPr>
          <w:rFonts w:hint="eastAsia"/>
        </w:rPr>
        <w:t>情報を、</w:t>
      </w:r>
      <w:r w:rsidR="009B54F1">
        <w:rPr>
          <w:rFonts w:hint="eastAsia"/>
        </w:rPr>
        <w:t>12</w:t>
      </w:r>
      <w:r w:rsidR="009B54F1">
        <w:rPr>
          <w:rFonts w:hint="eastAsia"/>
        </w:rPr>
        <w:t>ヶ月以内に提出するよう要請する。</w:t>
      </w:r>
    </w:p>
    <w:p w14:paraId="06F8E6D6" w14:textId="77777777" w:rsidR="00E4628E" w:rsidRPr="001646AD" w:rsidRDefault="00E4628E"/>
    <w:p w14:paraId="15BC5851" w14:textId="77777777" w:rsidR="00E4628E" w:rsidRDefault="009B54F1">
      <w:r>
        <w:t xml:space="preserve">　　技術協力</w:t>
      </w:r>
    </w:p>
    <w:p w14:paraId="7594D438" w14:textId="77777777" w:rsidR="009B54F1" w:rsidRDefault="009B54F1" w:rsidP="009D6F8A">
      <w:pPr>
        <w:ind w:left="420" w:hangingChars="200" w:hanging="420"/>
      </w:pPr>
      <w:r>
        <w:rPr>
          <w:rFonts w:hint="eastAsia"/>
        </w:rPr>
        <w:t xml:space="preserve">　　</w:t>
      </w:r>
      <w:r>
        <w:rPr>
          <w:rFonts w:hint="eastAsia"/>
        </w:rPr>
        <w:t xml:space="preserve">56. </w:t>
      </w:r>
      <w:r>
        <w:rPr>
          <w:rFonts w:hint="eastAsia"/>
        </w:rPr>
        <w:t>委員会は</w:t>
      </w:r>
      <w:r w:rsidR="009D6F8A">
        <w:rPr>
          <w:rFonts w:hint="eastAsia"/>
        </w:rPr>
        <w:t>、締約国が条約と本総括所見を実施するため</w:t>
      </w:r>
      <w:r w:rsidR="00ED3668">
        <w:rPr>
          <w:rFonts w:hint="eastAsia"/>
        </w:rPr>
        <w:t>の指導</w:t>
      </w:r>
      <w:r w:rsidR="009D6F8A">
        <w:rPr>
          <w:rFonts w:hint="eastAsia"/>
        </w:rPr>
        <w:t>と援助を受けるために、障害者権利条約関連機関相互支援グループのメンバー団体の技術協力</w:t>
      </w:r>
      <w:r w:rsidR="00ED3668">
        <w:rPr>
          <w:rFonts w:hint="eastAsia"/>
        </w:rPr>
        <w:t>を利用する</w:t>
      </w:r>
      <w:r w:rsidR="009D6F8A">
        <w:rPr>
          <w:rFonts w:hint="eastAsia"/>
        </w:rPr>
        <w:t>ことを</w:t>
      </w:r>
      <w:r>
        <w:rPr>
          <w:rFonts w:hint="eastAsia"/>
        </w:rPr>
        <w:t>勧告する。</w:t>
      </w:r>
    </w:p>
    <w:p w14:paraId="699E5C68" w14:textId="77777777" w:rsidR="009B54F1" w:rsidRPr="00E31546" w:rsidRDefault="009B54F1"/>
    <w:p w14:paraId="7B4BE98E" w14:textId="77777777" w:rsidR="009B54F1" w:rsidRDefault="009B54F1">
      <w:r>
        <w:rPr>
          <w:rFonts w:hint="eastAsia"/>
        </w:rPr>
        <w:t xml:space="preserve">　　次回報告</w:t>
      </w:r>
    </w:p>
    <w:p w14:paraId="2A4BDC61" w14:textId="77777777" w:rsidR="009B54F1" w:rsidRDefault="009B54F1" w:rsidP="009B54F1">
      <w:pPr>
        <w:ind w:left="420" w:hangingChars="200" w:hanging="420"/>
      </w:pPr>
      <w:r>
        <w:rPr>
          <w:rFonts w:hint="eastAsia"/>
        </w:rPr>
        <w:t xml:space="preserve">　　</w:t>
      </w:r>
      <w:r>
        <w:rPr>
          <w:rFonts w:hint="eastAsia"/>
        </w:rPr>
        <w:t xml:space="preserve">57. </w:t>
      </w:r>
      <w:r>
        <w:rPr>
          <w:rFonts w:hint="eastAsia"/>
        </w:rPr>
        <w:t>委員会は</w:t>
      </w:r>
      <w:r w:rsidR="009D6F8A">
        <w:rPr>
          <w:rFonts w:hint="eastAsia"/>
        </w:rPr>
        <w:t>、</w:t>
      </w:r>
      <w:r>
        <w:rPr>
          <w:rFonts w:hint="eastAsia"/>
        </w:rPr>
        <w:t>締約国が第</w:t>
      </w:r>
      <w:r>
        <w:rPr>
          <w:rFonts w:hint="eastAsia"/>
        </w:rPr>
        <w:t>2</w:t>
      </w:r>
      <w:r w:rsidR="009D6F8A">
        <w:rPr>
          <w:rFonts w:hint="eastAsia"/>
        </w:rPr>
        <w:t>回と</w:t>
      </w:r>
      <w:r>
        <w:rPr>
          <w:rFonts w:hint="eastAsia"/>
        </w:rPr>
        <w:t>第</w:t>
      </w:r>
      <w:r>
        <w:rPr>
          <w:rFonts w:hint="eastAsia"/>
        </w:rPr>
        <w:t>3</w:t>
      </w:r>
      <w:r>
        <w:rPr>
          <w:rFonts w:hint="eastAsia"/>
        </w:rPr>
        <w:t>回</w:t>
      </w:r>
      <w:r w:rsidR="009D6F8A">
        <w:rPr>
          <w:rFonts w:hint="eastAsia"/>
        </w:rPr>
        <w:t>を統合させた</w:t>
      </w:r>
      <w:r>
        <w:rPr>
          <w:rFonts w:hint="eastAsia"/>
        </w:rPr>
        <w:t>定期報告を</w:t>
      </w:r>
      <w:r>
        <w:rPr>
          <w:rFonts w:hint="eastAsia"/>
        </w:rPr>
        <w:t>2019</w:t>
      </w:r>
      <w:r>
        <w:rPr>
          <w:rFonts w:hint="eastAsia"/>
        </w:rPr>
        <w:t>年</w:t>
      </w:r>
      <w:r>
        <w:rPr>
          <w:rFonts w:hint="eastAsia"/>
        </w:rPr>
        <w:t>6</w:t>
      </w:r>
      <w:r>
        <w:rPr>
          <w:rFonts w:hint="eastAsia"/>
        </w:rPr>
        <w:t>月</w:t>
      </w:r>
      <w:r>
        <w:rPr>
          <w:rFonts w:hint="eastAsia"/>
        </w:rPr>
        <w:t>13</w:t>
      </w:r>
      <w:r w:rsidR="009D6F8A">
        <w:rPr>
          <w:rFonts w:hint="eastAsia"/>
        </w:rPr>
        <w:t>日までに提出し、そこに本総括所見の実施に関する</w:t>
      </w:r>
      <w:r>
        <w:rPr>
          <w:rFonts w:hint="eastAsia"/>
        </w:rPr>
        <w:t>情</w:t>
      </w:r>
      <w:r w:rsidR="009D6F8A">
        <w:rPr>
          <w:rFonts w:hint="eastAsia"/>
        </w:rPr>
        <w:t>報を含むよう要請する。委員</w:t>
      </w:r>
      <w:r w:rsidR="007B24FD">
        <w:rPr>
          <w:rFonts w:hint="eastAsia"/>
        </w:rPr>
        <w:t>会は、締約国が上述した報告を、委員会の簡易化した報告手続きの元に</w:t>
      </w:r>
      <w:r w:rsidR="00E31546">
        <w:rPr>
          <w:rFonts w:hint="eastAsia"/>
        </w:rPr>
        <w:t>、委員会が締約国の報告</w:t>
      </w:r>
      <w:r w:rsidR="00E31546">
        <w:rPr>
          <w:rFonts w:hint="eastAsia"/>
        </w:rPr>
        <w:t>/</w:t>
      </w:r>
      <w:r w:rsidR="00E31546">
        <w:rPr>
          <w:rFonts w:hint="eastAsia"/>
        </w:rPr>
        <w:t>統合報告の締切日の少なくとも</w:t>
      </w:r>
      <w:r w:rsidR="00E31546">
        <w:rPr>
          <w:rFonts w:hint="eastAsia"/>
        </w:rPr>
        <w:t>1</w:t>
      </w:r>
      <w:r w:rsidR="00E31546">
        <w:rPr>
          <w:rFonts w:hint="eastAsia"/>
        </w:rPr>
        <w:t>年前に準備した事前質問事項に準じて</w:t>
      </w:r>
      <w:r w:rsidR="007B24FD">
        <w:rPr>
          <w:rFonts w:hint="eastAsia"/>
        </w:rPr>
        <w:t>提出することを検討するよう求める。</w:t>
      </w:r>
    </w:p>
    <w:p w14:paraId="3B524F61" w14:textId="77777777" w:rsidR="009B54F1" w:rsidRPr="007B24FD" w:rsidRDefault="009B54F1"/>
    <w:p w14:paraId="5FBC036B" w14:textId="77777777" w:rsidR="00E4628E" w:rsidRDefault="00E4628E"/>
    <w:p w14:paraId="4ADC0F24" w14:textId="77777777" w:rsidR="00E4628E" w:rsidRDefault="00E4628E"/>
    <w:p w14:paraId="773DA7CC" w14:textId="77777777" w:rsidR="00783E0F" w:rsidRDefault="00783E0F">
      <w:pPr>
        <w:widowControl/>
        <w:jc w:val="left"/>
      </w:pPr>
      <w:r>
        <w:br w:type="page"/>
      </w:r>
    </w:p>
    <w:sectPr w:rsidR="00783E0F" w:rsidSect="00E4628E">
      <w:pgSz w:w="11906" w:h="16838"/>
      <w:pgMar w:top="1985" w:right="1701" w:bottom="1701" w:left="1701" w:header="851" w:footer="992" w:gutter="0"/>
      <w:cols w:space="425"/>
      <w:docGrid w:type="lines" w:linePitch="34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FBD5CB" w15:done="0"/>
  <w15:commentEx w15:paraId="02EC066A" w15:done="0"/>
  <w15:commentEx w15:paraId="51C6832A" w15:done="0"/>
  <w15:commentEx w15:paraId="1CF0974A" w15:done="0"/>
  <w15:commentEx w15:paraId="6A101EA8" w15:done="0"/>
  <w15:commentEx w15:paraId="7D4D32C9" w15:done="0"/>
  <w15:commentEx w15:paraId="2210B2A4" w15:done="0"/>
  <w15:commentEx w15:paraId="1AC3BAA8" w15:done="0"/>
  <w15:commentEx w15:paraId="37E52040" w15:done="0"/>
  <w15:commentEx w15:paraId="1D9A07E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24AFC3" w14:textId="77777777" w:rsidR="009F7AD9" w:rsidRDefault="009F7AD9" w:rsidP="00313008">
      <w:r>
        <w:separator/>
      </w:r>
    </w:p>
  </w:endnote>
  <w:endnote w:type="continuationSeparator" w:id="0">
    <w:p w14:paraId="4CB3558E" w14:textId="77777777" w:rsidR="009F7AD9" w:rsidRDefault="009F7AD9" w:rsidP="00313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A290DF" w14:textId="77777777" w:rsidR="009F7AD9" w:rsidRDefault="009F7AD9" w:rsidP="00313008">
      <w:r>
        <w:separator/>
      </w:r>
    </w:p>
  </w:footnote>
  <w:footnote w:type="continuationSeparator" w:id="0">
    <w:p w14:paraId="220797E4" w14:textId="77777777" w:rsidR="009F7AD9" w:rsidRDefault="009F7AD9" w:rsidP="003130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26C66"/>
    <w:multiLevelType w:val="hybridMultilevel"/>
    <w:tmpl w:val="0358A2E6"/>
    <w:lvl w:ilvl="0" w:tplc="87AEAEDE">
      <w:start w:val="1"/>
      <w:numFmt w:val="decimal"/>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
    <w:nsid w:val="26F00A98"/>
    <w:multiLevelType w:val="hybridMultilevel"/>
    <w:tmpl w:val="23467974"/>
    <w:lvl w:ilvl="0" w:tplc="907A3AD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493F362C"/>
    <w:multiLevelType w:val="hybridMultilevel"/>
    <w:tmpl w:val="65CCAA0C"/>
    <w:lvl w:ilvl="0" w:tplc="83EC601C">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D34391B"/>
    <w:multiLevelType w:val="hybridMultilevel"/>
    <w:tmpl w:val="A9C09B7C"/>
    <w:lvl w:ilvl="0" w:tplc="73D65200">
      <w:start w:val="1"/>
      <w:numFmt w:val="decimalFullWidth"/>
      <w:lvlText w:val="%1．"/>
      <w:lvlJc w:val="left"/>
      <w:pPr>
        <w:ind w:left="440" w:hanging="4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517570D"/>
    <w:multiLevelType w:val="hybridMultilevel"/>
    <w:tmpl w:val="F97CBBBA"/>
    <w:lvl w:ilvl="0" w:tplc="D2DCC214">
      <w:start w:val="1"/>
      <w:numFmt w:val="decimal"/>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5">
    <w:nsid w:val="75F928A9"/>
    <w:multiLevelType w:val="hybridMultilevel"/>
    <w:tmpl w:val="D0CA5F74"/>
    <w:lvl w:ilvl="0" w:tplc="E5D017F8">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gase">
    <w15:presenceInfo w15:providerId="None" w15:userId="Naga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85D"/>
    <w:rsid w:val="000012F1"/>
    <w:rsid w:val="00013DC6"/>
    <w:rsid w:val="00015044"/>
    <w:rsid w:val="000167D9"/>
    <w:rsid w:val="000375BA"/>
    <w:rsid w:val="000419BC"/>
    <w:rsid w:val="000519F7"/>
    <w:rsid w:val="00052ACB"/>
    <w:rsid w:val="000659DB"/>
    <w:rsid w:val="00075AAA"/>
    <w:rsid w:val="000804E6"/>
    <w:rsid w:val="00093ABF"/>
    <w:rsid w:val="000A3693"/>
    <w:rsid w:val="000B4C3D"/>
    <w:rsid w:val="000B78CD"/>
    <w:rsid w:val="000D0B36"/>
    <w:rsid w:val="000E3D6C"/>
    <w:rsid w:val="000E5424"/>
    <w:rsid w:val="000F2CB2"/>
    <w:rsid w:val="000F6165"/>
    <w:rsid w:val="00112394"/>
    <w:rsid w:val="00112CE0"/>
    <w:rsid w:val="001134E2"/>
    <w:rsid w:val="001158E1"/>
    <w:rsid w:val="00122F59"/>
    <w:rsid w:val="00123BD1"/>
    <w:rsid w:val="001302E3"/>
    <w:rsid w:val="00130B31"/>
    <w:rsid w:val="00132BA7"/>
    <w:rsid w:val="0013515A"/>
    <w:rsid w:val="00143D61"/>
    <w:rsid w:val="00147B30"/>
    <w:rsid w:val="00150E38"/>
    <w:rsid w:val="001603B3"/>
    <w:rsid w:val="001646AD"/>
    <w:rsid w:val="001652BC"/>
    <w:rsid w:val="0017079C"/>
    <w:rsid w:val="001824F6"/>
    <w:rsid w:val="00186841"/>
    <w:rsid w:val="00191546"/>
    <w:rsid w:val="00192E7F"/>
    <w:rsid w:val="001A3C32"/>
    <w:rsid w:val="001A6169"/>
    <w:rsid w:val="001A6683"/>
    <w:rsid w:val="001A74D8"/>
    <w:rsid w:val="001B2B21"/>
    <w:rsid w:val="001B3DD9"/>
    <w:rsid w:val="001C353D"/>
    <w:rsid w:val="001D0CA0"/>
    <w:rsid w:val="001D4F29"/>
    <w:rsid w:val="001D5509"/>
    <w:rsid w:val="001E21D5"/>
    <w:rsid w:val="001E6A2E"/>
    <w:rsid w:val="001F4FED"/>
    <w:rsid w:val="001F571B"/>
    <w:rsid w:val="002004DF"/>
    <w:rsid w:val="00206E5D"/>
    <w:rsid w:val="0020721E"/>
    <w:rsid w:val="00215731"/>
    <w:rsid w:val="00215D9B"/>
    <w:rsid w:val="002202DE"/>
    <w:rsid w:val="00231772"/>
    <w:rsid w:val="00233CAE"/>
    <w:rsid w:val="00244A50"/>
    <w:rsid w:val="00266E8D"/>
    <w:rsid w:val="00277A0B"/>
    <w:rsid w:val="002811D0"/>
    <w:rsid w:val="00281C05"/>
    <w:rsid w:val="002A6DA6"/>
    <w:rsid w:val="002B1E3F"/>
    <w:rsid w:val="002D0F71"/>
    <w:rsid w:val="002E1888"/>
    <w:rsid w:val="002F32D4"/>
    <w:rsid w:val="002F43F2"/>
    <w:rsid w:val="002F49F4"/>
    <w:rsid w:val="002F71E1"/>
    <w:rsid w:val="00305626"/>
    <w:rsid w:val="0030614D"/>
    <w:rsid w:val="00311B42"/>
    <w:rsid w:val="00313008"/>
    <w:rsid w:val="003145BE"/>
    <w:rsid w:val="00316A72"/>
    <w:rsid w:val="00324FC2"/>
    <w:rsid w:val="00326B95"/>
    <w:rsid w:val="00327CBE"/>
    <w:rsid w:val="00336BF1"/>
    <w:rsid w:val="0034360C"/>
    <w:rsid w:val="0034368B"/>
    <w:rsid w:val="00343BBB"/>
    <w:rsid w:val="00343E5B"/>
    <w:rsid w:val="00345181"/>
    <w:rsid w:val="00347751"/>
    <w:rsid w:val="003673EC"/>
    <w:rsid w:val="00372335"/>
    <w:rsid w:val="00380E3C"/>
    <w:rsid w:val="00386EF6"/>
    <w:rsid w:val="00392546"/>
    <w:rsid w:val="003A1609"/>
    <w:rsid w:val="003A4ADD"/>
    <w:rsid w:val="003A74D5"/>
    <w:rsid w:val="003B6A57"/>
    <w:rsid w:val="003B7663"/>
    <w:rsid w:val="003C3344"/>
    <w:rsid w:val="003D32DE"/>
    <w:rsid w:val="003F1C22"/>
    <w:rsid w:val="003F521E"/>
    <w:rsid w:val="00401976"/>
    <w:rsid w:val="00402AF1"/>
    <w:rsid w:val="00407DF4"/>
    <w:rsid w:val="00417805"/>
    <w:rsid w:val="004716BA"/>
    <w:rsid w:val="00476CB4"/>
    <w:rsid w:val="0048519A"/>
    <w:rsid w:val="00487358"/>
    <w:rsid w:val="004947B8"/>
    <w:rsid w:val="004A005E"/>
    <w:rsid w:val="004A1B5F"/>
    <w:rsid w:val="004B7B08"/>
    <w:rsid w:val="004C0BE7"/>
    <w:rsid w:val="004C0F85"/>
    <w:rsid w:val="004F0B11"/>
    <w:rsid w:val="00506DD3"/>
    <w:rsid w:val="00541635"/>
    <w:rsid w:val="00541D21"/>
    <w:rsid w:val="005523CA"/>
    <w:rsid w:val="005645C4"/>
    <w:rsid w:val="00574BC3"/>
    <w:rsid w:val="00582370"/>
    <w:rsid w:val="00584FE6"/>
    <w:rsid w:val="005913FA"/>
    <w:rsid w:val="0059327E"/>
    <w:rsid w:val="005948D6"/>
    <w:rsid w:val="005A33D1"/>
    <w:rsid w:val="005B0037"/>
    <w:rsid w:val="005B1B6C"/>
    <w:rsid w:val="005B2177"/>
    <w:rsid w:val="005B3686"/>
    <w:rsid w:val="005D508F"/>
    <w:rsid w:val="005E3C44"/>
    <w:rsid w:val="005E44D5"/>
    <w:rsid w:val="005E73BB"/>
    <w:rsid w:val="0060035C"/>
    <w:rsid w:val="00601F6D"/>
    <w:rsid w:val="00615059"/>
    <w:rsid w:val="00621561"/>
    <w:rsid w:val="00637BE5"/>
    <w:rsid w:val="00643160"/>
    <w:rsid w:val="0064432B"/>
    <w:rsid w:val="00646D31"/>
    <w:rsid w:val="00655181"/>
    <w:rsid w:val="00656C77"/>
    <w:rsid w:val="00661B27"/>
    <w:rsid w:val="00663E48"/>
    <w:rsid w:val="006654F5"/>
    <w:rsid w:val="006664E7"/>
    <w:rsid w:val="00671268"/>
    <w:rsid w:val="0067285C"/>
    <w:rsid w:val="0067797F"/>
    <w:rsid w:val="006869AF"/>
    <w:rsid w:val="00687136"/>
    <w:rsid w:val="006A0FD1"/>
    <w:rsid w:val="006A6DC1"/>
    <w:rsid w:val="006B73AD"/>
    <w:rsid w:val="006D0504"/>
    <w:rsid w:val="006D61C7"/>
    <w:rsid w:val="006E0E12"/>
    <w:rsid w:val="006E0F57"/>
    <w:rsid w:val="006E28F4"/>
    <w:rsid w:val="006E48D9"/>
    <w:rsid w:val="006F0935"/>
    <w:rsid w:val="006F1C18"/>
    <w:rsid w:val="007042DD"/>
    <w:rsid w:val="00711441"/>
    <w:rsid w:val="007161AF"/>
    <w:rsid w:val="007179E8"/>
    <w:rsid w:val="00724B0E"/>
    <w:rsid w:val="0074071A"/>
    <w:rsid w:val="00753447"/>
    <w:rsid w:val="007763DF"/>
    <w:rsid w:val="007825A9"/>
    <w:rsid w:val="00783E0F"/>
    <w:rsid w:val="007862F6"/>
    <w:rsid w:val="00791C06"/>
    <w:rsid w:val="007A0F66"/>
    <w:rsid w:val="007A1663"/>
    <w:rsid w:val="007A699E"/>
    <w:rsid w:val="007B24FD"/>
    <w:rsid w:val="007B405E"/>
    <w:rsid w:val="007B75A1"/>
    <w:rsid w:val="007D37DF"/>
    <w:rsid w:val="007D709D"/>
    <w:rsid w:val="007F1333"/>
    <w:rsid w:val="00811AD4"/>
    <w:rsid w:val="008173E8"/>
    <w:rsid w:val="00831497"/>
    <w:rsid w:val="00835AAC"/>
    <w:rsid w:val="00851680"/>
    <w:rsid w:val="00873552"/>
    <w:rsid w:val="008765DE"/>
    <w:rsid w:val="008901D5"/>
    <w:rsid w:val="008A573A"/>
    <w:rsid w:val="008B0D46"/>
    <w:rsid w:val="008B1488"/>
    <w:rsid w:val="008B5807"/>
    <w:rsid w:val="008B6500"/>
    <w:rsid w:val="008B7549"/>
    <w:rsid w:val="008D0FD9"/>
    <w:rsid w:val="008D7027"/>
    <w:rsid w:val="008D72FD"/>
    <w:rsid w:val="008E6327"/>
    <w:rsid w:val="008E7972"/>
    <w:rsid w:val="008F283D"/>
    <w:rsid w:val="008F655C"/>
    <w:rsid w:val="00900E22"/>
    <w:rsid w:val="00925668"/>
    <w:rsid w:val="00925CF7"/>
    <w:rsid w:val="00926971"/>
    <w:rsid w:val="00930FB0"/>
    <w:rsid w:val="009343D8"/>
    <w:rsid w:val="009358F8"/>
    <w:rsid w:val="00943D10"/>
    <w:rsid w:val="009455E9"/>
    <w:rsid w:val="00946AC5"/>
    <w:rsid w:val="00961895"/>
    <w:rsid w:val="00962624"/>
    <w:rsid w:val="00970A56"/>
    <w:rsid w:val="00977CD7"/>
    <w:rsid w:val="00980681"/>
    <w:rsid w:val="009912AF"/>
    <w:rsid w:val="00996708"/>
    <w:rsid w:val="00996A1C"/>
    <w:rsid w:val="009B54F1"/>
    <w:rsid w:val="009B5FF7"/>
    <w:rsid w:val="009C3659"/>
    <w:rsid w:val="009C39C5"/>
    <w:rsid w:val="009D5FD4"/>
    <w:rsid w:val="009D6F8A"/>
    <w:rsid w:val="009F2A8B"/>
    <w:rsid w:val="009F3A24"/>
    <w:rsid w:val="009F3DE2"/>
    <w:rsid w:val="009F45B5"/>
    <w:rsid w:val="009F7AD9"/>
    <w:rsid w:val="00A004FA"/>
    <w:rsid w:val="00A0085D"/>
    <w:rsid w:val="00A11213"/>
    <w:rsid w:val="00A13771"/>
    <w:rsid w:val="00A13BD2"/>
    <w:rsid w:val="00A2196D"/>
    <w:rsid w:val="00A43970"/>
    <w:rsid w:val="00A43A11"/>
    <w:rsid w:val="00A45547"/>
    <w:rsid w:val="00A50C09"/>
    <w:rsid w:val="00A6069D"/>
    <w:rsid w:val="00A9528A"/>
    <w:rsid w:val="00AC0464"/>
    <w:rsid w:val="00AC4E67"/>
    <w:rsid w:val="00AC6DEB"/>
    <w:rsid w:val="00AD49DD"/>
    <w:rsid w:val="00AD5310"/>
    <w:rsid w:val="00AE31B8"/>
    <w:rsid w:val="00AE79DE"/>
    <w:rsid w:val="00AF354B"/>
    <w:rsid w:val="00AF7AE4"/>
    <w:rsid w:val="00B013FB"/>
    <w:rsid w:val="00B02F55"/>
    <w:rsid w:val="00B07611"/>
    <w:rsid w:val="00B07B6F"/>
    <w:rsid w:val="00B17AB6"/>
    <w:rsid w:val="00B418B9"/>
    <w:rsid w:val="00B45D93"/>
    <w:rsid w:val="00B54DAB"/>
    <w:rsid w:val="00B54EF4"/>
    <w:rsid w:val="00B5547D"/>
    <w:rsid w:val="00B6425B"/>
    <w:rsid w:val="00B762B8"/>
    <w:rsid w:val="00B84F70"/>
    <w:rsid w:val="00BA2E68"/>
    <w:rsid w:val="00BB04D3"/>
    <w:rsid w:val="00BB511D"/>
    <w:rsid w:val="00BC134A"/>
    <w:rsid w:val="00BC4F0E"/>
    <w:rsid w:val="00BD7A61"/>
    <w:rsid w:val="00BD7E22"/>
    <w:rsid w:val="00BE45C5"/>
    <w:rsid w:val="00BF4592"/>
    <w:rsid w:val="00BF761D"/>
    <w:rsid w:val="00C06B7C"/>
    <w:rsid w:val="00C10438"/>
    <w:rsid w:val="00C13439"/>
    <w:rsid w:val="00C13843"/>
    <w:rsid w:val="00C3076B"/>
    <w:rsid w:val="00C310F9"/>
    <w:rsid w:val="00C356C1"/>
    <w:rsid w:val="00C47460"/>
    <w:rsid w:val="00C50EA6"/>
    <w:rsid w:val="00C607C0"/>
    <w:rsid w:val="00C670E4"/>
    <w:rsid w:val="00C77F8F"/>
    <w:rsid w:val="00C84CA0"/>
    <w:rsid w:val="00CB03F3"/>
    <w:rsid w:val="00CB218F"/>
    <w:rsid w:val="00CD11A4"/>
    <w:rsid w:val="00CD5302"/>
    <w:rsid w:val="00CD541E"/>
    <w:rsid w:val="00CF0B19"/>
    <w:rsid w:val="00CF197A"/>
    <w:rsid w:val="00CF2238"/>
    <w:rsid w:val="00CF2903"/>
    <w:rsid w:val="00CF33FA"/>
    <w:rsid w:val="00CF524F"/>
    <w:rsid w:val="00D02E67"/>
    <w:rsid w:val="00D03355"/>
    <w:rsid w:val="00D050AA"/>
    <w:rsid w:val="00D3065F"/>
    <w:rsid w:val="00D37F96"/>
    <w:rsid w:val="00D408DF"/>
    <w:rsid w:val="00D57174"/>
    <w:rsid w:val="00D64C06"/>
    <w:rsid w:val="00D715EC"/>
    <w:rsid w:val="00D730E7"/>
    <w:rsid w:val="00D760FC"/>
    <w:rsid w:val="00DB55E9"/>
    <w:rsid w:val="00DC48BA"/>
    <w:rsid w:val="00DD2C64"/>
    <w:rsid w:val="00DF54B1"/>
    <w:rsid w:val="00E13399"/>
    <w:rsid w:val="00E24B12"/>
    <w:rsid w:val="00E31546"/>
    <w:rsid w:val="00E4531A"/>
    <w:rsid w:val="00E4628E"/>
    <w:rsid w:val="00E47A6B"/>
    <w:rsid w:val="00E52D52"/>
    <w:rsid w:val="00E63D8D"/>
    <w:rsid w:val="00E7520E"/>
    <w:rsid w:val="00E75671"/>
    <w:rsid w:val="00E76370"/>
    <w:rsid w:val="00E86E32"/>
    <w:rsid w:val="00E95C4F"/>
    <w:rsid w:val="00E96A19"/>
    <w:rsid w:val="00EA65E1"/>
    <w:rsid w:val="00EB4E0D"/>
    <w:rsid w:val="00EC683C"/>
    <w:rsid w:val="00ED15F6"/>
    <w:rsid w:val="00ED3668"/>
    <w:rsid w:val="00EE234E"/>
    <w:rsid w:val="00EE3733"/>
    <w:rsid w:val="00EE3B70"/>
    <w:rsid w:val="00EE7FDB"/>
    <w:rsid w:val="00EF1141"/>
    <w:rsid w:val="00F17A45"/>
    <w:rsid w:val="00F267F8"/>
    <w:rsid w:val="00F33031"/>
    <w:rsid w:val="00F342F8"/>
    <w:rsid w:val="00F42130"/>
    <w:rsid w:val="00F46076"/>
    <w:rsid w:val="00F50E7F"/>
    <w:rsid w:val="00F51A09"/>
    <w:rsid w:val="00F64496"/>
    <w:rsid w:val="00F66B9A"/>
    <w:rsid w:val="00F70344"/>
    <w:rsid w:val="00F75197"/>
    <w:rsid w:val="00F90BAF"/>
    <w:rsid w:val="00F917DC"/>
    <w:rsid w:val="00FA36D0"/>
    <w:rsid w:val="00FA4510"/>
    <w:rsid w:val="00FB133A"/>
    <w:rsid w:val="00FB7035"/>
    <w:rsid w:val="00FC5705"/>
    <w:rsid w:val="00FD1A29"/>
    <w:rsid w:val="00FD3208"/>
    <w:rsid w:val="00FD379F"/>
    <w:rsid w:val="00FE7248"/>
    <w:rsid w:val="00FF02E8"/>
    <w:rsid w:val="00FF4882"/>
    <w:rsid w:val="00FF7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CB6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085D"/>
    <w:pPr>
      <w:ind w:leftChars="400" w:left="840"/>
    </w:pPr>
  </w:style>
  <w:style w:type="paragraph" w:styleId="a4">
    <w:name w:val="header"/>
    <w:basedOn w:val="a"/>
    <w:link w:val="a5"/>
    <w:uiPriority w:val="99"/>
    <w:unhideWhenUsed/>
    <w:rsid w:val="00313008"/>
    <w:pPr>
      <w:tabs>
        <w:tab w:val="center" w:pos="4252"/>
        <w:tab w:val="right" w:pos="8504"/>
      </w:tabs>
      <w:snapToGrid w:val="0"/>
    </w:pPr>
  </w:style>
  <w:style w:type="character" w:customStyle="1" w:styleId="a5">
    <w:name w:val="ヘッダー (文字)"/>
    <w:basedOn w:val="a0"/>
    <w:link w:val="a4"/>
    <w:uiPriority w:val="99"/>
    <w:rsid w:val="00313008"/>
  </w:style>
  <w:style w:type="paragraph" w:styleId="a6">
    <w:name w:val="footer"/>
    <w:basedOn w:val="a"/>
    <w:link w:val="a7"/>
    <w:uiPriority w:val="99"/>
    <w:unhideWhenUsed/>
    <w:rsid w:val="00313008"/>
    <w:pPr>
      <w:tabs>
        <w:tab w:val="center" w:pos="4252"/>
        <w:tab w:val="right" w:pos="8504"/>
      </w:tabs>
      <w:snapToGrid w:val="0"/>
    </w:pPr>
  </w:style>
  <w:style w:type="character" w:customStyle="1" w:styleId="a7">
    <w:name w:val="フッター (文字)"/>
    <w:basedOn w:val="a0"/>
    <w:link w:val="a6"/>
    <w:uiPriority w:val="99"/>
    <w:rsid w:val="00313008"/>
  </w:style>
  <w:style w:type="character" w:styleId="a8">
    <w:name w:val="annotation reference"/>
    <w:basedOn w:val="a0"/>
    <w:uiPriority w:val="99"/>
    <w:semiHidden/>
    <w:unhideWhenUsed/>
    <w:rsid w:val="00541D21"/>
    <w:rPr>
      <w:sz w:val="18"/>
      <w:szCs w:val="18"/>
    </w:rPr>
  </w:style>
  <w:style w:type="paragraph" w:styleId="a9">
    <w:name w:val="annotation text"/>
    <w:basedOn w:val="a"/>
    <w:link w:val="aa"/>
    <w:uiPriority w:val="99"/>
    <w:semiHidden/>
    <w:unhideWhenUsed/>
    <w:rsid w:val="00541D21"/>
    <w:pPr>
      <w:jc w:val="left"/>
    </w:pPr>
  </w:style>
  <w:style w:type="character" w:customStyle="1" w:styleId="aa">
    <w:name w:val="コメント文字列 (文字)"/>
    <w:basedOn w:val="a0"/>
    <w:link w:val="a9"/>
    <w:uiPriority w:val="99"/>
    <w:semiHidden/>
    <w:rsid w:val="00541D21"/>
  </w:style>
  <w:style w:type="paragraph" w:styleId="ab">
    <w:name w:val="annotation subject"/>
    <w:basedOn w:val="a9"/>
    <w:next w:val="a9"/>
    <w:link w:val="ac"/>
    <w:uiPriority w:val="99"/>
    <w:semiHidden/>
    <w:unhideWhenUsed/>
    <w:rsid w:val="00541D21"/>
    <w:rPr>
      <w:b/>
      <w:bCs/>
    </w:rPr>
  </w:style>
  <w:style w:type="character" w:customStyle="1" w:styleId="ac">
    <w:name w:val="コメント内容 (文字)"/>
    <w:basedOn w:val="aa"/>
    <w:link w:val="ab"/>
    <w:uiPriority w:val="99"/>
    <w:semiHidden/>
    <w:rsid w:val="00541D21"/>
    <w:rPr>
      <w:b/>
      <w:bCs/>
    </w:rPr>
  </w:style>
  <w:style w:type="paragraph" w:styleId="ad">
    <w:name w:val="Balloon Text"/>
    <w:basedOn w:val="a"/>
    <w:link w:val="ae"/>
    <w:uiPriority w:val="99"/>
    <w:semiHidden/>
    <w:unhideWhenUsed/>
    <w:rsid w:val="00541D2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41D2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085D"/>
    <w:pPr>
      <w:ind w:leftChars="400" w:left="840"/>
    </w:pPr>
  </w:style>
  <w:style w:type="paragraph" w:styleId="a4">
    <w:name w:val="header"/>
    <w:basedOn w:val="a"/>
    <w:link w:val="a5"/>
    <w:uiPriority w:val="99"/>
    <w:unhideWhenUsed/>
    <w:rsid w:val="00313008"/>
    <w:pPr>
      <w:tabs>
        <w:tab w:val="center" w:pos="4252"/>
        <w:tab w:val="right" w:pos="8504"/>
      </w:tabs>
      <w:snapToGrid w:val="0"/>
    </w:pPr>
  </w:style>
  <w:style w:type="character" w:customStyle="1" w:styleId="a5">
    <w:name w:val="ヘッダー (文字)"/>
    <w:basedOn w:val="a0"/>
    <w:link w:val="a4"/>
    <w:uiPriority w:val="99"/>
    <w:rsid w:val="00313008"/>
  </w:style>
  <w:style w:type="paragraph" w:styleId="a6">
    <w:name w:val="footer"/>
    <w:basedOn w:val="a"/>
    <w:link w:val="a7"/>
    <w:uiPriority w:val="99"/>
    <w:unhideWhenUsed/>
    <w:rsid w:val="00313008"/>
    <w:pPr>
      <w:tabs>
        <w:tab w:val="center" w:pos="4252"/>
        <w:tab w:val="right" w:pos="8504"/>
      </w:tabs>
      <w:snapToGrid w:val="0"/>
    </w:pPr>
  </w:style>
  <w:style w:type="character" w:customStyle="1" w:styleId="a7">
    <w:name w:val="フッター (文字)"/>
    <w:basedOn w:val="a0"/>
    <w:link w:val="a6"/>
    <w:uiPriority w:val="99"/>
    <w:rsid w:val="00313008"/>
  </w:style>
  <w:style w:type="character" w:styleId="a8">
    <w:name w:val="annotation reference"/>
    <w:basedOn w:val="a0"/>
    <w:uiPriority w:val="99"/>
    <w:semiHidden/>
    <w:unhideWhenUsed/>
    <w:rsid w:val="00541D21"/>
    <w:rPr>
      <w:sz w:val="18"/>
      <w:szCs w:val="18"/>
    </w:rPr>
  </w:style>
  <w:style w:type="paragraph" w:styleId="a9">
    <w:name w:val="annotation text"/>
    <w:basedOn w:val="a"/>
    <w:link w:val="aa"/>
    <w:uiPriority w:val="99"/>
    <w:semiHidden/>
    <w:unhideWhenUsed/>
    <w:rsid w:val="00541D21"/>
    <w:pPr>
      <w:jc w:val="left"/>
    </w:pPr>
  </w:style>
  <w:style w:type="character" w:customStyle="1" w:styleId="aa">
    <w:name w:val="コメント文字列 (文字)"/>
    <w:basedOn w:val="a0"/>
    <w:link w:val="a9"/>
    <w:uiPriority w:val="99"/>
    <w:semiHidden/>
    <w:rsid w:val="00541D21"/>
  </w:style>
  <w:style w:type="paragraph" w:styleId="ab">
    <w:name w:val="annotation subject"/>
    <w:basedOn w:val="a9"/>
    <w:next w:val="a9"/>
    <w:link w:val="ac"/>
    <w:uiPriority w:val="99"/>
    <w:semiHidden/>
    <w:unhideWhenUsed/>
    <w:rsid w:val="00541D21"/>
    <w:rPr>
      <w:b/>
      <w:bCs/>
    </w:rPr>
  </w:style>
  <w:style w:type="character" w:customStyle="1" w:styleId="ac">
    <w:name w:val="コメント内容 (文字)"/>
    <w:basedOn w:val="aa"/>
    <w:link w:val="ab"/>
    <w:uiPriority w:val="99"/>
    <w:semiHidden/>
    <w:rsid w:val="00541D21"/>
    <w:rPr>
      <w:b/>
      <w:bCs/>
    </w:rPr>
  </w:style>
  <w:style w:type="paragraph" w:styleId="ad">
    <w:name w:val="Balloon Text"/>
    <w:basedOn w:val="a"/>
    <w:link w:val="ae"/>
    <w:uiPriority w:val="99"/>
    <w:semiHidden/>
    <w:unhideWhenUsed/>
    <w:rsid w:val="00541D2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41D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97A24-16EC-4C55-93E3-E4C069E32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1501</Words>
  <Characters>8561</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 Shirota</dc:creator>
  <cp:lastModifiedBy>Nagase Osamu</cp:lastModifiedBy>
  <cp:revision>2</cp:revision>
  <dcterms:created xsi:type="dcterms:W3CDTF">2016-02-08T01:14:00Z</dcterms:created>
  <dcterms:modified xsi:type="dcterms:W3CDTF">2016-02-08T01:14:00Z</dcterms:modified>
</cp:coreProperties>
</file>